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atbalstīt izziņas 4. punktā sniegto skaidrojumu, kāpēc nav ņemts vērā Latvijas Lielo pilsētu asociācijas (LLPA) iebildums par 15.</w:t>
            </w:r>
            <w:r w:rsidR="00000000" w:rsidRPr="00000000" w:rsidDel="00000000">
              <w:rPr>
                <w:vertAlign w:val="superscript"/>
                <w:rtl w:val="0"/>
              </w:rPr>
              <w:t xml:space="preserve">3</w:t>
            </w:r>
            <w:r w:rsidR="00000000" w:rsidRPr="00000000" w:rsidDel="00000000">
              <w:rPr>
                <w:rtl w:val="0"/>
              </w:rPr>
              <w:t xml:space="preserve"> panta otrās daļas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Dzīvokļu īpašnieku kopībai tiešs pienākums reģistrēties Valsts ieņēmumu dienestā kā nodokļu maksātājam, neizriet no grāmatvedības normatīvajiem aktiem, bet gan no nodokļu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LLPA iebildums par to, ka noteikt, cik ilgā laikā dzīvokļu īpašnieku kopībai ir pienākums reģistrēties Valsts ieņēmumu dienestā kā nodokļu maksātājam,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3.pantam Dzīvokļu īpašnieku kopībai ir pienākums reģistrēties Valsts ieņēmumu dienestā kā nodokļu maksātājam, ja ieņēmumi pārskata gadā no saimnieciskās darbības pārsniegs divas valstī noteiktās minimālās mēneša darba algas. Lūdzam skaidrības labad papildināt anotāciju ar skaidrojumu kādā kārtībā tiks veikta kopības reģistrācija pirms attiecīgu grozījumu Ministru kabineta 2015. gada 22. septembra noteikumos Nr.537 “Noteikumi par nodokļu maksātāju un nodokļu maksātāju struktūrvienību reģistrāciju Valsts ieņēmumu dienestā” spēkā stāšanas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sniegt informāciju, ka pašlaik, lai dzīvokļu īpašnieku kopību reģistrētu kā nodokļu maksātāju, pārvaldnieks vai pilnvarotā persona Valsts ieņēmumu dienesta Elektroniskās deklarēšanas sistēmā iesniedz aizpildītu “Nodokļu maksātāja (cita subjekta) reģistrācijas lapu” (Ministru kabineta 2015. gada 22. septembra noteikumu Nr.537 “Noteikumi par nodokļu maksātāju un nodokļu maksātāju struktūrvienību reģistrāciju Valsts ieņēmumu dienestā” 2.pielikums), aile “Nosaukums” norādot dzīvokļu īpašnieku kopības adresi, ailē “Atrašanās vietas adrese (juridiskā adrese)” norādot konkrēto ēku un ēkas kadastra apzīmējumu.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15.</w:t>
            </w:r>
            <w:r w:rsidR="00000000" w:rsidRPr="00000000" w:rsidDel="00000000">
              <w:rPr>
                <w:vertAlign w:val="superscript"/>
                <w:rtl w:val="0"/>
              </w:rPr>
              <w:t xml:space="preserve">5 </w:t>
            </w:r>
            <w:r w:rsidR="00000000" w:rsidRPr="00000000" w:rsidDel="00000000">
              <w:rPr>
                <w:rtl w:val="0"/>
              </w:rPr>
              <w:t xml:space="preserve">pantu, kura ceturtā daļa nosaka Uzņēmuma reģistra pienākumu reģistrēt ziņas par dzīvokļu īpašnieku kopības patiesajiem labuma guvējiem Juridisko veidojumu patieso labumu guvēju reģistrā. Savukārt papildināmā likuma 15. panta 1.</w:t>
            </w:r>
            <w:r w:rsidR="00000000" w:rsidRPr="00000000" w:rsidDel="00000000">
              <w:rPr>
                <w:vertAlign w:val="superscript"/>
                <w:rtl w:val="0"/>
              </w:rPr>
              <w:t xml:space="preserve">2</w:t>
            </w:r>
            <w:r w:rsidR="00000000" w:rsidRPr="00000000" w:rsidDel="00000000">
              <w:rPr>
                <w:rtl w:val="0"/>
              </w:rPr>
              <w:t xml:space="preserve"> daļa nosaka, ka dzīvokļu īpašnieku kopība ir pielīdzināma juridiskai personai un tai piemēro uz juridiskajām personām attiecināmos noteikumus, tai skaitā, kā izriet no likumprojekta anotācijas, tad arī dzīvokļu īpašnieku kopības pārvaldniekam ir jāiesniedz ziņu apjoms par patiesajiem labuma guvējiem, kas noregulēts Noziedzīgi iegūtu līdzekļu legalizācijas un terorisma un proliferācijas finansēšanas novēršanas likuma 18.</w:t>
            </w:r>
            <w:r w:rsidR="00000000" w:rsidRPr="00000000" w:rsidDel="00000000">
              <w:rPr>
                <w:vertAlign w:val="superscript"/>
                <w:rtl w:val="0"/>
              </w:rPr>
              <w:t xml:space="preserve">1</w:t>
            </w:r>
            <w:r w:rsidR="00000000" w:rsidRPr="00000000" w:rsidDel="00000000">
              <w:rPr>
                <w:rtl w:val="0"/>
              </w:rPr>
              <w:t xml:space="preserve"> panta ceturtajā daļā, kas faktiski ir attiecināms uz juridiskajām personām, nevis juridiskajiem veidojumiem.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Noziedzīgi iegūtu līdzekļu legalizācijas un terorisma un proliferācijas finansēšanas novēršanas likuma 18.</w:t>
            </w:r>
            <w:r w:rsidR="00000000" w:rsidRPr="00000000" w:rsidDel="00000000">
              <w:rPr>
                <w:vertAlign w:val="superscript"/>
                <w:rtl w:val="0"/>
              </w:rPr>
              <w:t xml:space="preserve">6</w:t>
            </w:r>
            <w:r w:rsidR="00000000" w:rsidRPr="00000000" w:rsidDel="00000000">
              <w:rPr>
                <w:rtl w:val="0"/>
              </w:rPr>
              <w:t xml:space="preserve"> panta trešā daļa nosaka ziņu apjomu, kuru Uzņēmumu reģistrs reģistrē par juridisko veidojumu patiesajiem labuma guvējiem, tai pašā laikā, dzīvokļu īpašnieku kopībai papildus vēl būtu reģistrējamas ziņas par Būvniecības valsts kontroles biroja piešķirto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aicinām skaidrot detalizētāk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07.03.2025.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07.03.2025.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