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pasākumi nozaru vajadzībās balstītai pieaugušo izglītībai un to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Darba devējs, atbilstoši to nodarbināto personu profesionālās kvalifikācijas pilnveides nepieciešamībai vai pārkvalifikācijai, nodrošina atbalsta pieejamību mācībām, piesakoties atbalstam pie finansējuma saņēmēja atbilstoši šajos noteikumos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noteikumu projekta 4. un 5.punktu, jo tie var būt pretrunīgi projektu īstenošanas procesā un daļēji dublē 6.punktā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Darba devējs, pēc finansējuma saņēmēja projekta iesnieguma apstiprināšanas, slēdz vienošanos ar nodarbināto personu par iesaisti mācībās (turpmāk -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8.-11.punktu vai vai attiecīgi koriģēt piedāvāto redakciju, nosakot, ka vienošanās tiek slēgta starp finansējuma saņēmēju un darba devēju nevis starp darba devēju un nodarbināto, nodrošinot, ka tiek mazināts darba devējam uzliktais administratīvais slogs un darba devējs ir atbildīgs par saistību noregulēšanu ar nodarbināto.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pirmās kārtas ietvaros plānotais kopējais attiecināmais finansējums ir 14 508 130 </w:t>
            </w:r>
            <w:r w:rsidR="00000000" w:rsidRPr="00000000" w:rsidDel="00000000">
              <w:rPr>
                <w:i w:val="1"/>
                <w:rtl w:val="0"/>
              </w:rPr>
              <w:t xml:space="preserve">euro</w:t>
            </w:r>
            <w:r w:rsidR="00000000" w:rsidRPr="00000000" w:rsidDel="00000000">
              <w:rPr>
                <w:rtl w:val="0"/>
              </w:rPr>
              <w:t xml:space="preserve"> (tostarp elastības finansējums 2 289 021 </w:t>
            </w:r>
            <w:r w:rsidR="00000000" w:rsidRPr="00000000" w:rsidDel="00000000">
              <w:rPr>
                <w:i w:val="1"/>
                <w:rtl w:val="0"/>
              </w:rPr>
              <w:t xml:space="preserve">euro</w:t>
            </w:r>
            <w:r w:rsidR="00000000" w:rsidRPr="00000000" w:rsidDel="00000000">
              <w:rPr>
                <w:rtl w:val="0"/>
              </w:rPr>
              <w:t xml:space="preserve">), tai skaitā ESF+ finansējums 12 331 910 </w:t>
            </w:r>
            <w:r w:rsidR="00000000" w:rsidRPr="00000000" w:rsidDel="00000000">
              <w:rPr>
                <w:i w:val="1"/>
                <w:rtl w:val="0"/>
              </w:rPr>
              <w:t xml:space="preserve">euro</w:t>
            </w:r>
            <w:r w:rsidR="00000000" w:rsidRPr="00000000" w:rsidDel="00000000">
              <w:rPr>
                <w:rtl w:val="0"/>
              </w:rPr>
              <w:t xml:space="preserve"> (tostarp elastības finansējums 1 945 668 </w:t>
            </w:r>
            <w:r w:rsidR="00000000" w:rsidRPr="00000000" w:rsidDel="00000000">
              <w:rPr>
                <w:i w:val="1"/>
                <w:rtl w:val="0"/>
              </w:rPr>
              <w:t xml:space="preserve">euro</w:t>
            </w:r>
            <w:r w:rsidR="00000000" w:rsidRPr="00000000" w:rsidDel="00000000">
              <w:rPr>
                <w:rtl w:val="0"/>
              </w:rPr>
              <w:t xml:space="preserve">) un valsts budžeta līdzfinansējums – 2 176 220 </w:t>
            </w:r>
            <w:r w:rsidR="00000000" w:rsidRPr="00000000" w:rsidDel="00000000">
              <w:rPr>
                <w:i w:val="1"/>
                <w:rtl w:val="0"/>
              </w:rPr>
              <w:t xml:space="preserve">euro</w:t>
            </w:r>
            <w:r w:rsidR="00000000" w:rsidRPr="00000000" w:rsidDel="00000000">
              <w:rPr>
                <w:rtl w:val="0"/>
              </w:rPr>
              <w:t xml:space="preserve"> (tostarp elastības finansējums 343 353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maksimālā finansējuma apjomu vienam projektam.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piesaistītajam projekta vadītājam vai vadošajam ekspertam pēdējo piecu gadu laikā ir pieredze prasmju pilnveides projektu īstenošanā, un projektu kopējā attiecināmā summa ir vismaz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22.8.punktā dzēst terminu “vai vadošajam ekspertam”, jo, saskaņā ar noteikumu projekta nosacījumiem, projekta ietvaros nav paredzēts piesaistīt ekspertu.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projekta vadības izmaksas, nepārsniedzot 3000 </w:t>
            </w:r>
            <w:r w:rsidR="00000000" w:rsidRPr="00000000" w:rsidDel="00000000">
              <w:rPr>
                <w:i w:val="1"/>
                <w:rtl w:val="0"/>
              </w:rPr>
              <w:t xml:space="preserve">euro</w:t>
            </w:r>
            <w:r w:rsidR="00000000" w:rsidRPr="00000000" w:rsidDel="00000000">
              <w:rPr>
                <w:rtl w:val="0"/>
              </w:rPr>
              <w:t xml:space="preserve">, atbilstoši Komisijas regulas Nr. 1407/2013 2. panta noteiktajam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31.1.3.punktā minēto atsauci uz Komisijas regulas Nr. 1407/2013 2. pantu, jo tas nenosaka noteiktos finansējuma apmērus.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31.1.3.3. darba vietas aprīkojuma izmaksas (pieļaujama tikai aprīkojuma noma vai nolietojums), transporta izmaksas (maksa par degvielu, transportlīdzekļa noma, transporta pakalpojumu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 kā arī ar datu uzkrāšanu un darba devēju datu pārbaudi saistītās izmaksas (datubāzes abonēšanas maksa uz laiku, kamēr tiek īstenots projekts), nepārsniedzot 3000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redakcijas nav saprotams vai 31.1.3.3.punktā noteiktie 3000 eur ir papildus 31.1.3.punktā minētajiem (lūdzam skatīt iebildumus un priekšlikumus 31.1.3.punktā), kā arī uz kādu periodu noteiktais limits ir attiecināms (mēnesī, gadā, projekta īstenošanas periodā).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Vienkāršoto izmaksu vienotā izmaksu likme šo noteikumu </w:t>
            </w:r>
            <w:r w:rsidR="00000000" w:rsidRPr="00000000" w:rsidDel="00000000">
              <w:rPr>
                <w:rtl w:val="0"/>
              </w:rPr>
              <w:t xml:space="preserve">31.1.3. </w:t>
            </w:r>
            <w:r w:rsidR="00000000" w:rsidRPr="00000000" w:rsidDel="00000000">
              <w:rPr>
                <w:rtl w:val="0"/>
              </w:rPr>
              <w:t xml:space="preserve">apakšpunkt</w:t>
            </w:r>
            <w:r w:rsidR="00000000" w:rsidRPr="00000000" w:rsidDel="00000000">
              <w:rPr>
                <w:rtl w:val="0"/>
              </w:rPr>
              <w:t xml:space="preserve">ā minētajām personāla atlīdzības izmaksām ir 20 % no pārējām tiešajām attiecināmajām izmaksām, neieskaitot personāla atlīdzības izmaksas, atbilstoši Eiropas Parlamenta un Padomes 2021. gada 24. jūnija Regulai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Komisijas regula Nr. 2021/1060), 55. panta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noteikumu projekta 31.1.3.punkta un 33.punkta redakcijas, nosakot projekta vadības izmaksām vai nu izmaksu limitu mēnesī vai arī procentuālu limitu no projekta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43.15. veikt pārbaudes darba devēja līmenī un tās dokumentēt, saglabājot liecības un pamatojumu veiktajam izvērtējumam atbilstoši  šo noteikumu </w:t>
            </w:r>
            <w:r w:rsidR="00000000" w:rsidRPr="00000000" w:rsidDel="00000000">
              <w:rPr>
                <w:rtl w:val="0"/>
              </w:rPr>
              <w:t xml:space="preserve">22.1. </w:t>
            </w:r>
            <w:r w:rsidR="00000000" w:rsidRPr="00000000" w:rsidDel="00000000">
              <w:rPr>
                <w:rtl w:val="0"/>
              </w:rPr>
              <w:t xml:space="preserve">apakšpunkt</w:t>
            </w:r>
            <w:r w:rsidR="00000000" w:rsidRPr="00000000" w:rsidDel="00000000">
              <w:rPr>
                <w:rtl w:val="0"/>
              </w:rPr>
              <w:t xml:space="preserve">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43.15.punktā minēto atsauci uz 22.1.apakšpunktu.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43.19. sagatavot un saskaņot ik gadu ar Komisiju mācību plānu, kur nepieciešams iekļaut šādas 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43.19.punktā un 45.punktā - lūdzam terminu "mācību darba plāns" mainīt uz "atskaite par mācībām" un paredzēt tā iesniegšanu Komisijai reizi gadā pēc mācību norises kā atskaiti.  Vēršam uzmanību, ka mācības ir process, kuru nav iespējams precīzi saplānot pusgadu vai gadu uz priekšu, jo darba devēji tām piesakās atkarībā no aktualitātes un nepieciešamības. Līdz ar to iesniegtais mācību darba plāns būtiski atšķirsies no faktiski notikušajām apmācībām.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43.24. iesniegt Vadības informācijas sistēmā darba devēja un nodarbinātā, kuram tiks veiktas mācības, parakstītu apliecinājumu par atļauju Ekonomikas ministrijai izmantot šo noteikumu </w:t>
            </w:r>
            <w:r w:rsidR="00000000" w:rsidRPr="00000000" w:rsidDel="00000000">
              <w:rPr>
                <w:rtl w:val="0"/>
              </w:rPr>
              <w:t xml:space="preserve">43.2. </w:t>
            </w:r>
            <w:r w:rsidR="00000000" w:rsidRPr="00000000" w:rsidDel="00000000">
              <w:rPr>
                <w:rtl w:val="0"/>
              </w:rPr>
              <w:t xml:space="preserve">apakšpunkt</w:t>
            </w:r>
            <w:r w:rsidR="00000000" w:rsidRPr="00000000" w:rsidDel="00000000">
              <w:rPr>
                <w:rtl w:val="0"/>
              </w:rPr>
              <w:t xml:space="preserve">ā noteiktos datus analītikas veikšanai un šo noteikumu </w:t>
            </w:r>
            <w:r w:rsidR="00000000" w:rsidRPr="00000000" w:rsidDel="00000000">
              <w:rPr>
                <w:rtl w:val="0"/>
              </w:rPr>
              <w:t xml:space="preserve">19. </w:t>
            </w:r>
            <w:r w:rsidR="00000000" w:rsidRPr="00000000" w:rsidDel="00000000">
              <w:rPr>
                <w:rtl w:val="0"/>
              </w:rPr>
              <w:t xml:space="preserve">punkt</w:t>
            </w:r>
            <w:r w:rsidR="00000000" w:rsidRPr="00000000" w:rsidDel="00000000">
              <w:rPr>
                <w:rtl w:val="0"/>
              </w:rPr>
              <w:t xml:space="preserve">ā rādītāju sasniegšanas uzraudzībai;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noteikumu projekta 43.24.punkta terminu “un nodarbinātā”, izsakot šo punktu sekojošā redakcijā “iesniegt Vadības informācijas sistēmā darba devēja, kuram tiks nodrošinātas mācības, parakstītu apliecinājumu par atļauju Ekonomikas ministrijai izmantot šo noteikumu 43.2. apakšpunktā noteiktos datus analītikas veikšanai un šo noteikumu 19. punktā rādītāju sasniegšanas uzraudzībai”.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Pirms projekta pieteikuma iesniegšanas darba devējs vienojas ar finansējuma saņēmēju par komercdarbības atbalsta veidu atbilstoši Komisijas regulas Nr. 651/2014 vai Komisijas regulas Nr. 1407/2013 nosacījumiem.  Ja darba devējs pretendē uz komercdarbības atbalstu saskaņā ar Komisijas regulu Nr. 1407/2013.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63.punktā ir nepabeigts teikums “Ja darba devējs pretendē uz komercdarbības atbalstu saskaņā ar Komisijas regulu Nr. 1407/2013.”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Latvijas uzņēmumu konkurētspēju jaunu ārvalstu tirgu apgūšanā un veicinātu eksporta pieaugumu, kā arī atvieglotu kvalificēta darba spēka piesaistīšanu, izsakām priekšlikumu atcelt konkrētu valodu apmācību ierobežojumus (ņemot vērā, ka eksportējošie uzņēmumi darbojas globālajā tirgū, nav nekāda pamata nosacījumam, ka atbalstāmas ir tikai zviedru, norvēģu, somu un vācu valodas apmācības). Aicinām dzēst noteikumu projekta 1. pielikuma 6. 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darba devējs nav saņēmis un izmantojis citu atbalstu konkrētās nodarbinātās personas izglītošanai par vienām un tām pašām aktivitātēm, ieskaitot atbalstu darbinieku izglītošanai, kas saņemts no Eiropas Reģionālās attīstības fonda un Eiropas Sociālā fonda, Eiropas Savienības struktūrfondu un Kohēzijas fonda 2014.—2020. gada un Eiropas Savienības fondu 2021.-2027. gada plānošanas perioda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7.1.punktu vai skaidrot anotācijā, vai darba devējam ir jānodrošina datu salīdzinājums par darbinieku mācībām no iepriekšējā plānošanas perioda finansētajiem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līdz 2024. gada 31. decembrim neunikālo nodarbināto personu skaits, tostarp pašnodarbinātas personas, kam nodrošināta mācību apguve, - 500;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19.1.1. iznākuma rādītājs - neunikālo nodarbināto personu skaits, kam nodrošināta mācību apguve (500) faktiski sakrīt ar 19.1.3. rādītāju - neunikālo komersantu skaits, kas atbalstīts ar grantiem (464), lūdzam precizēt anotācijā plānoto rādītāju vērtību veidošanas metodoloģiju vai precizēt sasniedzamos iznākuma rādītājus.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 informatīvo pasākumu un konferences organizēšanas izmaksas, lai motivētu darba devējus attīstīt prasmes;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31.1.2.punktā attiecināmo izmaksu grupu “un konferences organizēšanas izmaksas”, jo konferenču organizēšana nav attiecināma uz apmācību projekta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projekta vadības izmaksas, nepārsniedzot 3000 </w:t>
            </w:r>
            <w:r w:rsidR="00000000" w:rsidRPr="00000000" w:rsidDel="00000000">
              <w:rPr>
                <w:i w:val="1"/>
                <w:rtl w:val="0"/>
              </w:rPr>
              <w:t xml:space="preserve">euro</w:t>
            </w:r>
            <w:r w:rsidR="00000000" w:rsidRPr="00000000" w:rsidDel="00000000">
              <w:rPr>
                <w:rtl w:val="0"/>
              </w:rPr>
              <w:t xml:space="preserve">, atbilstoši Komisijas regulas Nr. 1407/2013 2. panta noteiktajam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noteikumu projekta 31.1.3.punktā projektu vadības izmaksām noteikt limitu 4500 euro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43.20. ne vēlāk kā mēnesi pēc šo noteikumu </w:t>
            </w:r>
            <w:r w:rsidR="00000000" w:rsidRPr="00000000" w:rsidDel="00000000">
              <w:rPr>
                <w:rtl w:val="0"/>
              </w:rPr>
              <w:t xml:space="preserve">8. </w:t>
            </w:r>
            <w:r w:rsidR="00000000" w:rsidRPr="00000000" w:rsidDel="00000000">
              <w:rPr>
                <w:rtl w:val="0"/>
              </w:rPr>
              <w:t xml:space="preserve">punkt</w:t>
            </w:r>
            <w:r w:rsidR="00000000" w:rsidRPr="00000000" w:rsidDel="00000000">
              <w:rPr>
                <w:rtl w:val="0"/>
              </w:rPr>
              <w:t xml:space="preserve">ā minētās vienošanās parakstīšanas, bet ne vēlāk kā līdz pirmajam maksājuma pieprasījumam iesniegt sadarbības iestādei iekšējās kontroles sistēmas aprakstu korupcijas un interešu konflikta riska novēršanai, ietverot tajā: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Vadošai iestādei vai Sadarbības iestādei par noteikumu projektā 43.20.-43.22.punktos minētajiem nosacījumiem izstrādāt vienotu metodiku vai paraugu.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Atbalsts šo noteikumu </w:t>
            </w:r>
            <w:r w:rsidR="00000000" w:rsidRPr="00000000" w:rsidDel="00000000">
              <w:rPr>
                <w:rtl w:val="0"/>
              </w:rPr>
              <w:t xml:space="preserve">31.1.3.2. </w:t>
            </w:r>
            <w:r w:rsidR="00000000" w:rsidRPr="00000000" w:rsidDel="00000000">
              <w:rPr>
                <w:rtl w:val="0"/>
              </w:rPr>
              <w:t xml:space="preserve">apakšpunkt</w:t>
            </w:r>
            <w:r w:rsidR="00000000" w:rsidRPr="00000000" w:rsidDel="00000000">
              <w:rPr>
                <w:rtl w:val="0"/>
              </w:rPr>
              <w:t xml:space="preserve">ā minēto izmaksu segšanai nav uzskatāms par komercdarbības atbalstu, ja finansējuma saņēmējs nodrošina projekta vadību, piemērojot šo noteikumu </w:t>
            </w:r>
            <w:r w:rsidR="00000000" w:rsidRPr="00000000" w:rsidDel="00000000">
              <w:rPr>
                <w:rtl w:val="0"/>
              </w:rPr>
              <w:t xml:space="preserve">37. </w:t>
            </w:r>
            <w:r w:rsidR="00000000" w:rsidRPr="00000000" w:rsidDel="00000000">
              <w:rPr>
                <w:rtl w:val="0"/>
              </w:rPr>
              <w:t xml:space="preserve">punkt</w:t>
            </w:r>
            <w:r w:rsidR="00000000" w:rsidRPr="00000000" w:rsidDel="00000000">
              <w:rPr>
                <w:rtl w:val="0"/>
              </w:rPr>
              <w:t xml:space="preserve">ā minēto nosacījumu. Ja finansējuma saņēmējs nodrošina projekta vadību, tad šo noteikumu </w:t>
            </w:r>
            <w:r w:rsidR="00000000" w:rsidRPr="00000000" w:rsidDel="00000000">
              <w:rPr>
                <w:rtl w:val="0"/>
              </w:rPr>
              <w:t xml:space="preserve">31.1.3.1.</w:t>
            </w:r>
            <w:r w:rsidR="00000000" w:rsidRPr="00000000" w:rsidDel="00000000">
              <w:rPr>
                <w:rtl w:val="0"/>
              </w:rPr>
              <w:t xml:space="preserve"> un </w:t>
            </w:r>
            <w:r w:rsidR="00000000" w:rsidRPr="00000000" w:rsidDel="00000000">
              <w:rPr>
                <w:rtl w:val="0"/>
              </w:rPr>
              <w:t xml:space="preserve">31.1.3.3. </w:t>
            </w:r>
            <w:r w:rsidR="00000000" w:rsidRPr="00000000" w:rsidDel="00000000">
              <w:rPr>
                <w:rtl w:val="0"/>
              </w:rPr>
              <w:t xml:space="preserve">apakšpunkt</w:t>
            </w:r>
            <w:r w:rsidR="00000000" w:rsidRPr="00000000" w:rsidDel="00000000">
              <w:rPr>
                <w:rtl w:val="0"/>
              </w:rPr>
              <w:t xml:space="preserve">ā minēto izmaksu segšana ir uzskatāma par komercdarbības atbalstu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37.punktu - ja noteikumu ietvaros komercdarbības atbalsta būtība saistīta ar projekta vadību ārpakalpojuma veidā, tad būtu norādāms konkrētais 37.punkta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28.11.2023. 21.46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28.11.2023. 21.46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