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“Valsts autoceļu attīstības stratēģiju līdz 2040.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27.08.2025.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27.08.2025.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