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pozīciju Eiropas Savienības jautājumos izstrādāšanas, saskaņošanas, apstiprināšanas un aktualizēšanas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Atbildīgā iestāde nodrošina sabiedrības (tai skaitā pašvaldību un sociālo partneru organizāciju, biedrību un nodibinājumu) iesaisti Eiropas Savienības lēmumu pieņemšanas procesā, ievērojot informācijas pieejamības ierobežojumus. Atbildīgā iestāde informē sabiedrību par attiecīgo jautājumu, iespējām sekot līdzi jautājuma virzībai, kā arī nodrošina informāciju par pozīciju un sasniegtajiem rezultātiem tiem sabiedrības pārstāvjiem, kuri ir iesaistījušies attiecīgās pozīcijas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Ārlietu ministrijas izstrādāto Latvijas Republikas pozīciju Eiropas Savienības jautājumos izstrādāšanas, saskaņošanas, apstiprināšanas un aktualizēšanas kārtības noteikumu projektu (turpmāk – Noteikumu projekts) un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izteikt Noteikuma projekta 10. punktu šādā redakcijā: </w:t>
            </w:r>
            <w:r w:rsidR="00000000" w:rsidRPr="00000000" w:rsidDel="00000000">
              <w:rPr>
                <w:rtl w:val="0"/>
              </w:rPr>
              <w:t xml:space="preserve">“Atbildīgā iestāde nodrošina mērķtiecīgu sabiedrības (tai skaitā pašvaldību un sociālo partneru organizāciju, biedrību un nodibinājumu) iesaisti Eiropas Savienības lēmumu pieņemšanas procesā, ievērojot informācijas pieejamības ierobežojumus. Atbildīgā iestāde apzina un iesaista organizācijas, kas pārstāv mērķgrupu, kuras tieši skar pozīcijas saturs, kā arī izvēlas piemērotākos sabiedrības līdzdalības veidus. Atbildīgā iestāde informē sabiedrību par attiecīgo jautājumu, iespējām sekot līdzi jautājuma virzībai, kā arī nodrošina informāciju par pozīciju un sasniegtajiem rezultātiem tiem sabiedrības pārstāvjiem, kuri ir iesaistījušies attiecīgās pozīcijas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Ārlietu ministriju un pārējās atbildīgās iestādes pārskatīt un atjaunot sadarbības partneru sarakstus, kas tiek iesaistīti nacionālo pozīciju izstrādē un saskaņošanā, lai nodrošinātu iespēju plašākam organizāciju lokam, kuras skar konkrētā nacionālā pozīcija un kuras pārstāv konkrētās mērķgrupas, aktīvi iesaistīties pozīcijas tapšanā, sniedzot savas zināšanas un ekspertīzi par pozīcijā iekļautajiem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Noteikuma projekta 10. punktu šādā redakcijā: “Atbildīgā iestāde nodrošina mērķtiecīgu sabiedrības (tai skaitā pašvaldību un sociālo partneru organizāciju, biedrību un nodibinājumu) iesaisti Eiropas Savienības lēmumu pieņemšanas procesā, ievērojot informācijas pieejamības ierobežojumus. Atbildīgā iestāde apzina un iesaista organizācijas, kas pārstāv mērķgrupu, kuras tieši skar pozīcijas saturs, kā arī izvēlas piemērotākos sabiedrības līdzdalības veidus. Atbildīgā iestāde informē sabiedrību par attiecīgo jautājumu, iespējām sekot līdzi jautājuma virzībai, kā arī nodrošina informāciju par pozīciju un sasniegtajiem rezultātiem tiem sabiedrības pārstāvjiem, kuri ir iesaistījušies attiecīgās pozīcijas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Pozīcijas formulēšanai par starpnozaru jautājumiem, kā arī jautājumiem, kas būtiski skar Latvijas Republikas intereses, atbildīgā iestāde, ievērojot darba efektivitātes un informācijas pieejamības ierobežojumus, var izveidot starpinstitūciju darba grupu. Darba grupā iekļauj koordinējošās iestādes un līdzatbildīgo iestāžu pārstāvjus, kā arī pieaicina pašvaldību un sociālo partneru organizāciju, biedrību un nodibinājumu pārstāvjus. Konkrētu jautājumu risināšanai starpinstitūciju darba grupā var pieaicināt ekspertus. Starpinstitūciju darba grupas sanāksmes dalībnieki ir pilnvaroti paust tās iestādes viedokli, kuru viņi pārstāv. Darba grupas izveidošana neaizstāj šajos noteikumos noteikto kārtību, kādā ir izstrādājamas un saskaņojamas pozīcijas un instrukcijas.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Noteikumu projekta 20. punktu izteikt šādā redakcijā: </w:t>
            </w:r>
            <w:r w:rsidR="00000000" w:rsidRPr="00000000" w:rsidDel="00000000">
              <w:rPr>
                <w:rtl w:val="0"/>
              </w:rPr>
              <w:t xml:space="preserve">“Pozīcijas formulēšanai par starpnozaru jautājumiem, kā arī jautājumiem, kas būtiski skar Latvijas Republikas intereses, atbildīgā iestāde, ievērojot darba efektivitātes un informācijas pieejamības ierobežojumus, var izveidot starpinstitūciju darba grupu. Darba grupā iekļauj koordinējošās iestādes un līdzatbildīgo iestāžu pārstāvjus, kā arī mērķtiecīgi pieaicina sabiedrības pārstāvjus un organizācijas, kas pārstāv mērķgrupu. Konkrētu jautājumu risināšanai starpinstitūciju darba grupā var pieaicināt ekspertus. Starpinstitūciju darba grupas sanāksmes dalībnieki ir pilnvaroti paust tās iestādes viedokli, kuru viņi pārstāv. Darba grupas izveidošana neaizstāj šajos noteikumos noteikto kārtību, kādā ir izstrādājamas un saskaņojamas pozīcijas un instrukcijas.”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Ārlietu ministriju un pārējās atbildīgās iestādes mērķtiecīgāk uzrunāt tieši tos sabiedrības pārstāvjus un organizācijas, kas pārstāv tās mērķgrupas, uz kurām attiecās un kuras potenciāli ietekmēs konkrētā pozīcija, kā arī kurām ir padziļinātas zināšanas un kompetence par pozīcijā izskatāmajiem jautājumiem, lai nodrošinātu plašākās līdzdalības iespējas, kā arī pozīcija tiktu saskaņota ar pēc iespējas plašāku ekspertu loku, nodrošinot tās atbilstību sabiedrības vajadzībām un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Noteikumu projekta 20. punktu izteikt šādā redakcijā: </w:t>
            </w:r>
            <w:r w:rsidR="00000000" w:rsidRPr="00000000" w:rsidDel="00000000">
              <w:rPr>
                <w:rtl w:val="0"/>
              </w:rPr>
              <w:t xml:space="preserve">“Pozīcijas formulēšanai par starpnozaru jautājumiem, kā arī jautājumiem, kas būtiski skar Latvijas Republikas intereses, atbildīgā iestāde, ievērojot darba efektivitātes un informācijas pieejamības ierobežojumus, var izveidot starpinstitūciju darba grupu. Darba grupā iekļauj koordinējošās iestādes un līdzatbildīgo iestāžu pārstāvjus, kā arī mērķtiecīgi pieaicina sabiedrības pārstāvjus un organizācijas, kas pārstāv mērķgrupu. Konkrētu jautājumu risināšanai starpinstitūciju darba grupā var pieaicināt ekspertus. Starpinstitūciju darba grupas sanāksmes dalībnieki ir pilnvaroti paust tās iestādes viedokli, kuru viņi pārstāv. Darba grupas izveidošana neaizstāj šajos noteikumos noteikto kārtību, kādā ir izstrādājamas un saskaņojamas pozīcijas un instrukcijas.”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19.05.2025.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19.05.2025.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Atzinumi_24-TA-422.docx</dc:title>
</cp:coreProperties>
</file>

<file path=docProps/custom.xml><?xml version="1.0" encoding="utf-8"?>
<Properties xmlns="http://schemas.openxmlformats.org/officeDocument/2006/custom-properties" xmlns:vt="http://schemas.openxmlformats.org/officeDocument/2006/docPropsVTypes"/>
</file>