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projektā visu informāciju norādīt secīgi un strukturēti, lai nosacījumi visiem būtu skaidri un vieglāk uztverami. Piemēram, visu informāciju par projekta atbalstāmajām darbībām (t.sk. galasaņēmēju atbalstāmajām darbībām) un attiecināmajām izmaksām norādīt vienkopus, vienas sadaļas ietvaros, savukārt, visus projekta īstenošanas nosacījumus norādīt atsevišķā sadaļā vienkopus. Papildus lūdzam iespēju robežās vienus un tos pašus nosacījumus neizdalīt atseviškos punktos, bet norādīt vienā, jo šobrīd noteikumu projekts ir ļoti apjomīgs, nepārskatāms un sarežģīts.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inovatīvs produkts </w:t>
            </w:r>
            <w:r w:rsidR="00000000" w:rsidRPr="00000000" w:rsidDel="00000000">
              <w:rPr>
                <w:rtl w:val="0"/>
              </w:rPr>
              <w:t xml:space="preserve">4.2.</w:t>
            </w:r>
            <w:r w:rsidR="00000000" w:rsidRPr="00000000" w:rsidDel="00000000">
              <w:rPr>
                <w:rtl w:val="0"/>
              </w:rPr>
              <w:t xml:space="preserve"> apakšpunktā norādītās aktivitātes ietvaros ir prece vai pakalpojums ar augstu pievienoto, tostarp tehnoloģisko, vērtību, kuru izstrādes rezultātā rodas jaunas vai uzlabotas zināšanas;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ir plānots novērtēt augstu pievienoto, tostarp tehnoloģisko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Sadarbības iestāde, izvērtējot finansējuma saņēmēja iesniegto priekšlikumu, ir tiesīga veikt pārdales starp šo noteikumu </w:t>
            </w:r>
            <w:r w:rsidR="00000000" w:rsidRPr="00000000" w:rsidDel="00000000">
              <w:rPr>
                <w:rtl w:val="0"/>
              </w:rPr>
              <w:t xml:space="preserve">14.</w:t>
            </w:r>
            <w:r w:rsidR="00000000" w:rsidRPr="00000000" w:rsidDel="00000000">
              <w:rPr>
                <w:rtl w:val="0"/>
              </w:rPr>
              <w:t xml:space="preserve"> punktā minētajiem projektiem un attiecīgi grozījumus noslēgtajās vienošanās par projektu īstenošanu, ja ir saņemts atbildīgās iestādes pozitīvs atzinums, ko finansējuma saņēmējs saskaņo un iesniedz sadarbības iestādei kopā ar vienošanās grozījumu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ņemot vērā, ka tiek paredzēts tikai viens projekta iesniegums - pārdales starp projektiem fiziski nenotiks.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sagatavo projekta iesniegumu atbilstoši projektu iesniegumu atlases nolikuma prasībām un iesniedz to sadarbības iestādē, izmantojot Kohēzijas politikas fondu vadības informācijas sistēmu. Projekta iesniedzējs projekta iesniegumā plāno šādus atbalsta pasākumu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ir norādīts, ka programmas ietvaros tiek sniegts atbalsts grantu veidā, kā arī nefinansiāls atbalsts. Vienlaikus MK noteikumu projekta tekstā kā sasniedzamie iznākuma radītāji ir noteikti uzņēmumu skaits, kas saņem atbalstu grantu veidā, kā arī uzņēmumu skaits, kas saņem nefinansiālu atbalstu, savukārt nav definēts, kāda veida atbalsts tiek sniegts katram programmas ietvaros noteiktajam atbalsta pasākumam. Attiecīgi lūdzam papildināt MK noteikumu projektu, skaidri norādot atbalsta sniegšanas veidu katram atbalsta pasākuma veidam.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projekta iesniegumam pievieno projekta īstenošanas stratēģiju. Stratēģijā ietver informāciju par projekta īstenošanas plānu, mērķiem, sasniedzamajiem rezultātiem, projekta vadības un īstenošanas personālu, to darba uzdevumiem un funkcijām, lai nodrošinātu pasākuma mērķu sasniegšanu, kritērijus vai metodes, tai skaitā, pēc kā tiks atlasītas biznesa inkubatoru (Finansējuma saņēmēja pārstāvniecību) atrašanās vietas.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kontekstā ar 1.2.3.1. pasākuma projektu iesniegumu atlases 2.6.specifisko atbilstības kritēriju un atbilstoši jau iepriekš izteiktajiem komentāriem par Biznesa inkubatoriem (turpmāk - BI) un ārvalstu pārstāvniecību izveidošanas pamatojumiem, aicinām EM izvērtēt iespēju precizēt MK noteikumu projekta par pasākuma īstenošanu 15.punktu, cita starpā nosakot, ka  stratēģijām par BI īstenošanu/ eksporta atbalsta nodrošināšanu caur LIAA pārstāvniecībām ir  jāparedz arī kārtība, kādā tiek noteikts un nepieciešamības gadījumā var tikt pārskatīts BI/ ārvalstu pārstāvniecību skaits, t.sk. izvērtēti to darbības rezultāti, balstoties uz ko, var tikt pieņemts lēmums par to darbības pārtraukšanu un jaunu atvēršanu (šobrīd tas ir noteikts tikai kritēriju piemērošanas metodikā, bet šāda prasība neizriet no MK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Projekta īstenošanas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risku, ka nav ievērots nosacījums par vienotu pieeju vienādu izmaksu attiecināšanai. Rosinām pārskatīt MK noteikumu projektu un, ja nepieciešams, veikt precizējumus. Piemēram, lai nodrošinātu vienotu pieeju vienādu izmaksu attiecināšanai, ierosinām MK noteikumus papildināt ar jaunu punktu, kur minēts, ka visām izmaksām, kur attiecināms, jāpiemēro VI izstrādātās horizontālās metodikas 1 km un iekšzemes komandējumu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Projekta īstenošanas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sadaļas nosaukums neatspoguļo tās saturu, lūdzam precizēt, t.sk. ņemot vērā iebildumu pie noteikumu projekta 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Latvijas ārējo ekonomisko pārstāvniecību konsultāciju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tīkls jau ir izveidots 2014.-2020.gada plānošanas periodā, tas nav par jaunu jāveido vismaz vadoties no anotācijā sniegtās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pasākumi jaunu partnerību un jaunu sadarbības projektu uzsākšanai un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Finanšu ministrijas izteikto iebildumu, kas iekļauts izziņas 66.punktā, un lūdzam papildināt noteikumu projekta 77. un 80. punktu, uzskaitot arī 18.12. noteikumu projekta punktu, kurā ir noteiktas attiecināmās izmaksas gala labuma guvējam, kurām atbalstu sniedz saskaņā ar Komisijas regulu Nr.1407/2013.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biznesa inkubatoru (Finansējuma saņēmēja pārstāvniecību) tīkla izveide un uzturēšana.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nav skaidrs, vai zem 18.13. apakšpunktā noteiktās atbalstāmās darbības tiek segtas izmaksas, kas saistītas ar LIAA funkcijas veikšanu, vai atbalstu sniedz uzņēmumu saimnieciskās darbības veikšanai un atbalstu attiecīgās darbības īstenošanai sniegs saskaņā ar Eiropas Komisijas 2013. gada 18. decembra Regulu (ES) Nr. 1407/2013 par Līguma par Eiropas Savienības darbību 107. un 108. panta piemērošanu de minimis atbalstam (turpmāk - Komisijas regula Nr.1407/2013), lūdzam pārskatīt noteikumu projektu un lūdzam nepieciešamības gadījumā papildināt noteikumu projekta 77. un 80. punktu, uzskaitot arī 18.13. noteikumu projekta punktu, kurā ir noteiktas attiecināmās izmaksas gala labuma guvējam, kuram atbalstu sniedz saskaņā ar Komisijas regulu Nr.1407/2013.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minētajām darbībām finansējuma saņēmējam finansējums nepārsniedz 20 % no šo noteikumu </w:t>
            </w:r>
            <w:r w:rsidR="00000000" w:rsidRPr="00000000" w:rsidDel="00000000">
              <w:rPr>
                <w:rtl w:val="0"/>
              </w:rPr>
              <w:t xml:space="preserve">6.</w:t>
            </w:r>
            <w:r w:rsidR="00000000" w:rsidRPr="00000000" w:rsidDel="00000000">
              <w:rPr>
                <w:rtl w:val="0"/>
              </w:rPr>
              <w:t xml:space="preserve"> punktā minētā kopējā pasākuma īstenošanai minētā finansējuma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55.panta 1.punktam.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Regulas Nr. 2021/1060 55.panta 1.punktā noteikta iespēja piemērot vienoto izmaksu likmi personāla atlīdzības izmaksām līdz 20 % </w:t>
            </w:r>
            <w:r w:rsidR="00000000" w:rsidRPr="00000000" w:rsidDel="00000000">
              <w:rPr>
                <w:u w:val="single"/>
                <w:rtl w:val="0"/>
              </w:rPr>
              <w:t xml:space="preserve">no pārējām tiešajām attiecināmajām izmaksām, neieskaitot personāla atlīdzības izmaksas.</w:t>
            </w:r>
            <w:r w:rsidR="00000000" w:rsidRPr="00000000" w:rsidDel="00000000">
              <w:rPr>
                <w:rtl w:val="0"/>
              </w:rPr>
              <w:t xml:space="preserve"> Lūdzam precizēt redakciju (t.sk.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vēršam uzmanību, ka likmes apmērs saskaņojams ar vadošo iestādi un norādāms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likmi plānots piemērot 18.1. un 18.2. apakšpunktos minētajām izmaksām, savukārt 21.punktā skaidrots, ka tajās ietilpst arī darba braucieni un komandējumi, dalības maksas pasākumos, kas nav personāla atlīdzības izmaksas. Papildus tam nav skaidri saprotams, kādas izmaksas paredzētas ārpakalpojuma izmaksās personāla kvalifikācijas celšanai un sadarbības tīklu veidošanai un ārējo ekspertu piesaistes izmaksas. Rosinām precizēt atsauci uz 21.punkta atbilstošajiem apakšpunktiem, kā arī anotācijā sniegt skaidru aprakstu par izmaksu un funkciju nepārklāšanos personālam, kura atlīdzības izmaksas tiks attiecinātas no vienotās personāla atlīdzības likmes un pārējām izmaksām (t.sk. konsultantiem, kam paredzētas samaksas, ekspertiem utt., kas minēti pie citām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18.3.</w:t>
            </w:r>
            <w:r w:rsidR="00000000" w:rsidRPr="00000000" w:rsidDel="00000000">
              <w:rPr>
                <w:rtl w:val="0"/>
              </w:rPr>
              <w:t xml:space="preserve"> apakšpunktā minēto atbalstāmo darbību īstenošanai ir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sniegtiem iebildumiem, vēršam uzmanību, ka telpu noma, uzturēšanas un komunālo pakalpojumu izmaksas, kā arī kancelejas preces ir netiešās izmaksas, ko aprēķina kā vienotu likmi 15 % apmērā no projekta vadības un īstenošanas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šādas izmaksas varētu tikt attiecināta kā tiešās attiecināmās izmaksas tikai atsevišķos gadījumos mērķa grupai, savukārt no pieejamās informācijas secināms, ka Latvijas ārējās ekonomiskās pārstāvniecības sniedz pakalpojumu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saskatām risku uz nevienlīdzīgu pieeju izmaksu attiecināšanā, gadījumā, ja 23.1. apakšpunktā paredzētā samaksa ir paredzēta kā darba 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kas šīs konsultācijas sniegs un 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šīs konsultācijas nepārklājas ar projekta vadības un īstenošanas personāla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piesaistītā personāla pakalpojumu izmaksas (radošā un tehniskā personāla, piemēram, moderatora, scenārista, maketētāja, video operatora, žurnālista, lektora, profesora, mentora, eksperta atlīdzība, ceļošanas un uzturēšanās izmaksas, honorārs);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šis pakalpojums tiks iepirkts vai te paredzētas atlīdzības izmaksas. Vai nepastāv izmaksu un funkciju dublēšanās ar projekta vadības un īstenošanas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izstrādā kārtību (metodiku), kādā identificē un nosaka pasākuma mērķa grupas, nosakot atbalsta saņēmēju loku, kas kvalificējas konkrētā komercdarbības atbalsta saņemšanai, tai skaitā, kā tiks identificētas saimnieciskās aktivitātes, kas tiek kvalificētas kā komercdarbības atbalsts, un saimnieciskās aktivitātes, kas netiek kvalificētas kā komercdarbības atbalsts, tādējādi nosakot, kuram mērķa grupas subjektam tiks piemērots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ka MK noteikumu projekta 41. un 50.punktos minētā metodika ir tā, kurā būs noteikta kārtība, kādā LIAA nodrošinās de minimis atbalsta sniegšanu gala labuma guvējam, kas izpilda Revīzijas iestādes ieteikumu, līdz ar to aicinām anotācijā iekļaut skaidrojumu, ka šāda metodika tiks izstrādāta kopā ar projekta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izstrādā kārtību (metodiku), kādā identificē un nosaka pasākuma mērķa grupas, nosakot atbalsta saņēmēju loku, kas kvalificējas konkrētā komercdarbības atbalsta saņemšanai, tai skaitā, kā tiks identificētas saimnieciskās aktivitātes, kas tiek kvalificētas kā komercdarbības atbalsts, un saimnieciskās aktivitātes, kas netiek kvalificētas kā komercdarbības atbalsts, tādējādi nosakot, kuram mērķa grupas subjektam tiks piemērots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150.punktā ietverto skaidrojumu, ka "</w:t>
            </w:r>
            <w:r w:rsidR="00000000" w:rsidRPr="00000000" w:rsidDel="00000000">
              <w:rPr>
                <w:i w:val="1"/>
                <w:rtl w:val="0"/>
              </w:rPr>
              <w:t xml:space="preserve">programmas būtība nav par to, ka gala labuma guvējs varētu nebūt saminieciskās darbības veicējs. Nefinansiālais atbalsts nosacīti dalās divās daļās: pasākumos, kur nav iespējams identificēt katru saimnieciskās darbības veicēju vai nav iespējams paredzēt pasākuma dalībnieku skaitu vai tie netiek strikti atlasīti pēc kādām noteiktām pazīmēm, piemēram, konferences dalībnieki: 2.daļa - pasākumi, kur iespējams paredzēt noteiktu dalībnieku skaitu, precīzāk - ir ierobežots vietu skaits pasākumā, piemēram, pieļaujamais dalībnieku skaits grupā ir 20. Lai piešķirtu vietu mācību grupā, gala labuma guvēji tiek vērtēti pēc noteiktām pazīmēm (MVU, P&amp;I līmenis uzņēmumā un tml.).</w:t>
            </w:r>
            <w:r w:rsidR="00000000" w:rsidRPr="00000000" w:rsidDel="00000000">
              <w:rPr>
                <w:rtl w:val="0"/>
              </w:rPr>
              <w:t xml:space="preserve">", </w:t>
            </w:r>
            <w:r w:rsidR="00000000" w:rsidRPr="00000000" w:rsidDel="00000000">
              <w:rPr>
                <w:b w:val="1"/>
                <w:rtl w:val="0"/>
              </w:rPr>
              <w:t xml:space="preserve">vēršam uzmanību, ka visiem kritērijiem, pēc kuriem tiek vērtēts atbalsta pretendents, ir jābūt iekļautiem MK noteikumos, papildus kritēriji nevarētu tikt iekļauti metodikā</w:t>
            </w:r>
            <w:r w:rsidR="00000000" w:rsidRPr="00000000" w:rsidDel="00000000">
              <w:rPr>
                <w:rtl w:val="0"/>
              </w:rPr>
              <w:t xml:space="preserve">. Lūdzam precizēt MK noteikumu projekta 41. un 50. punktu un papildināt MK noteikumu projektu ar attiecīgajām prasībām, lai, tostarp, no MK noteikumiem būtu skaidrs, kuros gadījumos atbalsts kvalificējams kā komercdarbības atbalsts, kad tiks piemēroti komercdarbības atbalsta kontroles regulējuma nosacījumi, kas iekļauti šajos noteikumos, un kuros gadījumos atbalstāmās darbības nedos labumus saimnieciskās darbības veicējiem viņu saimnieciskās darbības veikšanai un attiecīgi atbalsts nebūs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Ekonomikas ministrija neparedz detalizētu analīzi komercdarbības atbalsta kontekstā (vērtējot katru no saņemtajiem pieteikumiem atbilstoši Komercdarbības atbalsta kontroles likuma 5.panta pazīmēm), ir iespējams īstenot stingrāku pieeju un tādējādi, lai izslēgtu nelikumīga komercdarbības atbalsta sniegšanas risku, Ekonomikas ministrija kā atbalsta sniedzējs var izvēlēties sniegt likumīgu komercdarbības atbalstu, piemērojot, piemēram, de minimis atbalsta regulējumu visiem saimnieciskās darbības veicējiem MKN uzskaitītajos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inovāciju, uzņēmējdarbības un eksporta veicināšanas pasākumu organizēšana;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43.3. punktu ņemot vērā, ka atbalsts eksporta veicināšanai ir iekļauts 53.punktā minētājās darbībās.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10 000 euro valstī noteiktās vienas minimālās mēneša darba algas un valsts sociālās apdrošināšanas obligātām iemaksām, tai skaitā citām normatīvajos aktos noteiktajām izmaksām vienam darbiniekam vienu reizi 12 mēnešu periodam tikai inovatīvam komersantam.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minēto 46.5. apakšpunktu, jo saredzam lielu administratīvo slogu uzraudzības un kontroles procesā, kā arī dubultā finansējuma risku, jo iesniedzot gada iedzīvotāju ienākumu deklarāciju tiek veikts iedzīvotāju ienākumu nodokļu pārrēķins.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izvērtēts inovatīvs komersants, kas kvalificētos šādam atbalstam, kādi nosacījumi būtu jāizpilda, vai tā nav diskriminējoša pret citiem tirgus dalībniekiem, kādēļ tikai inovatīvam komersantam.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53.14.4. sabiedrisko attiecību pakalpojumu izmaksas, kas attiecināmas uz sadarbību ar Latvijas un ārvalstu sabiedrisko attiecību pakalpojumu sniedzējiem, medijiem (publikācijas pirms un pēc pasākuma), ārvalstu žurnālistu akreditāciju un piesaisti konkrētajam pasākumam, influenceru kampaņām konkrētās valstīs, ārvalstu mārketinga kampaņu realizēšanu, sociālo tīklu uzturēšanu un reklāmas kampaņu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šajā punktā iekļautās izmaksas atbilst Regulas Nr. 1407/2013 1.panta 1.punkta d) apakšpunktam. Nepieciešamības gadījumā aicinām precizēt noteikumu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Komersantu vērtēšanas komisijā par </w:t>
            </w:r>
            <w:r w:rsidR="00000000" w:rsidRPr="00000000" w:rsidDel="00000000">
              <w:rPr>
                <w:rtl w:val="0"/>
              </w:rPr>
              <w:t xml:space="preserve">53.14.</w:t>
            </w:r>
            <w:r w:rsidR="00000000" w:rsidRPr="00000000" w:rsidDel="00000000">
              <w:rPr>
                <w:rtl w:val="0"/>
              </w:rPr>
              <w:t xml:space="preserve"> apakšpunktā noteikto atbalsta piešķiršanu piedalās Finansējuma saņēmēja, sadarbības iestādes un atbildīgās iestādes pārstāvji ar vienu balsi no katras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savienojumu "sadarbības iestādes". Atbilstoši lūdzam precizēt anotācijas 1.3. punkta sadaļas "Risinājuma apraksts, apakšsadaļā "7. Eksporta veicināšana un jaunu tirgu apgūšana"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Atbalsta apjoms par šo noteikumu </w:t>
            </w:r>
            <w:r w:rsidR="00000000" w:rsidRPr="00000000" w:rsidDel="00000000">
              <w:rPr>
                <w:rtl w:val="0"/>
              </w:rPr>
              <w:t xml:space="preserve">53.</w:t>
            </w:r>
            <w:r w:rsidR="00000000" w:rsidRPr="00000000" w:rsidDel="00000000">
              <w:rPr>
                <w:rtl w:val="0"/>
              </w:rPr>
              <w:t xml:space="preserve"> punktā minētajām darbībām vienam gala labuma guvējam viena kalendārā gada laikā nepārsniedz 40 000 euro, izņemot </w:t>
            </w:r>
            <w:r w:rsidR="00000000" w:rsidRPr="00000000" w:rsidDel="00000000">
              <w:rPr>
                <w:rtl w:val="0"/>
              </w:rPr>
              <w:t xml:space="preserve">53.12.</w:t>
            </w:r>
            <w:r w:rsidR="00000000" w:rsidRPr="00000000" w:rsidDel="00000000">
              <w:rPr>
                <w:rtl w:val="0"/>
              </w:rPr>
              <w:t xml:space="preserve"> un </w:t>
            </w:r>
            <w:r w:rsidR="00000000" w:rsidRPr="00000000" w:rsidDel="00000000">
              <w:rPr>
                <w:rtl w:val="0"/>
              </w:rPr>
              <w:t xml:space="preserve">53.14.</w:t>
            </w:r>
            <w:r w:rsidR="00000000" w:rsidRPr="00000000" w:rsidDel="00000000">
              <w:rPr>
                <w:rtl w:val="0"/>
              </w:rPr>
              <w:t xml:space="preserve"> apakšpunktā minētās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iepriekš MK noteikumu projekta 60. punktā minētais finansējuma ierobežojums bija 20 000 euro. Lūdzam skaidrot finansējuma apjoma paaugstināšanu.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Finansējuma saņēmējs izstrādā kārtību par gala labuma guvēju atlasi, atbalsta piešķiršanu un tā uzskaiti. Finansējuma saņēmējs lēmumu par atbalsta piešķiršanu pieņem saskaņā ar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projektu norādot, ka fiansējuma saņēmējs izvērtē gala labuma guvējus atbilstoši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noteiktajiem izslēgšanas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tas atbilst grūtībās nonākuša komersanta statusam saskaņā ar Regulas Nr. 651/2014 2. panta 18. punktu. Prasība attiecas uz komersantu, ja atbalsts tiek piešķirts saskaņā ar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ietvaros atbalsts tiks piešķirts saskaņā ar Komisijas regulu Nr.1407/2013, līdz ar ko lūdzam precizēt noteikumu projekta 72.3.apakšpunktu, dzēšot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noteikumu projekta 72.3.apakšpuntā ietvertā prasība, kas izriet no Komisijas regulas Nr.651/2004 2.panta 18.punkta c)apakšpunkta, paredz pārbaudīt, vai atbalsta pretendents atbilst normatīvajos aktos noteiktajiem kritērijiem, lai tam pēc kreditoru pieprasījuma pieprasītu maksātnespējas procedūru, un šāda pārbaude tiek veikta, balstoties uz atbalsta pretendenta iesniegtu apliecinājumu. Lūdzam precizēt noteikumu projektu, paredzot, ka šāda apliecinājuma iesniegšana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5.sadaļā iekļauto noteikumu projekta 72.3.apakšpunkta izvērtējumu, ņemot vērā, ka tas paredz stingrākas prasības nekā Komisijas regula Nr.1407/2013.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Atbalstu sniedz saskaņā ar Komisijas regulu Nr. 1407/2013 un normatīvajiem aktiem par de minimis atbalsta uzskaites un piešķiršanas kārtību un de minimis atbalsta uzskaites veidlapu paraugiem, kā arī ņemot vērā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62.</w:t>
            </w:r>
            <w:r w:rsidR="00000000" w:rsidRPr="00000000" w:rsidDel="00000000">
              <w:rPr>
                <w:rtl w:val="0"/>
              </w:rPr>
              <w:t xml:space="preserve"> punktos norādītās kārtības (metodikas)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77.punktu arī atbilstoši iebildumam, kas izteikts pie MK noteikumu projekta 41.punkta. Vienlaikus aicinām precizēt skaidrojumu 211.izziņas punktā, kas ir pretrunīgs, jo LIAA šo MK noteikumu ietvaros ir finansējuma saņēmējs un nevar būt, ka finansējuma saņēmēja funkcijas nepārklājas ar LIAA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9.punktā ir norādīts, ka "</w:t>
            </w:r>
            <w:r w:rsidR="00000000" w:rsidRPr="00000000" w:rsidDel="00000000">
              <w:rPr>
                <w:i w:val="1"/>
                <w:rtl w:val="0"/>
              </w:rPr>
              <w:t xml:space="preserve">Finansējuma saņēmējs pārbauda gala labuma guvēja atbilstību VID datu bāzē pēdējā aktualizācijas datumā pirms iesnieguma iesniegšanas esošo informāciju par nodokļu parādiem (ievada gala labuma guvēja reģistrācijas numuru un nosaukumu finansējuma saņēmējam pieejamajā VID datu bāzē un pārliecinās par gala labuma guvēja nodokļu parādu esamību). Finansējuma saņēmējs neakceptē gala labuma guvēja iesniegumu, ja tiek konstatētas nodokļu parādsaistības virs noteiktā pieļaujamā limita un, ja nav noslēgta vienošanās par labprātīgu nodokļu samaksu, vai nav noslēgts vienošanās līgums. </w:t>
            </w:r>
            <w:r w:rsidR="00000000" w:rsidRPr="00000000" w:rsidDel="00000000">
              <w:rPr>
                <w:i w:val="1"/>
                <w:rtl w:val="0"/>
              </w:rPr>
              <w:t xml:space="preserve">Tāpat Finansējuma saņēmējam gala labuma guvējam jāpārbauda minētā informācija ik reizi pirms katra atbalsta piešķiršanas. Finansējuma saņēmējs nesniedz granta atbalstu gala labuma guvējam, ja tiek konstatētas nodokļu parādsaistības virs noteiktā pieļaujamā limita un, ja nav noslēgta vienošanās par labprātīgu nodokļu samaksu, vai nav noslēgts vienošanās līgums. </w:t>
            </w:r>
            <w:r w:rsidR="00000000" w:rsidRPr="00000000" w:rsidDel="00000000">
              <w:rPr>
                <w:i w:val="1"/>
                <w:u w:val="single"/>
                <w:rtl w:val="0"/>
              </w:rPr>
              <w:t xml:space="preserve">Augstāk minētā kārtība pilnā apmērā tiks noteikta Finansējuma saņēmēja iekšējās kārtības noteikumos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no augstāk minētā tiks noteikts ar iekšējās kārtības noteikumiem un kāpēc tas vajadzīgs. Proti, šobrīd noteikumu projekts nosaka, kādiem nosacījumiem iestājoties, netiek piešķirts konkrētais atbalsts. Savukārt no likuma "Par nodokļiem un nodevām" izriet Valsts ieņēmumu dienesta pienākums nodrošināt publiski pieejamu tā administrēto nodokļu pārādnieku datu bāzi, tāpat arī no minētā regulējuma izriet, kāda informācija ir ievadāma, lai datubāzē varētu saņemt informāciju par parāda esamību vai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anotācijā skaidrot, ko ir plānots noteikt šajos iekšējās kārtības noteikumos, lai galā neizveidojas situācija, ka iekšējos noteikumos plānots iekļaut regulējumu, kas pēc būtības būtu nosakāms ārējā normatīvajā aktā, vai arī tādu regulējumu, kas jau ir iekļauts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vienlaikus lūgums jau anotācijas tekstā norādīt, kā finansējuma saņēmējs pārliecināsies, vai attiecībā uz konkrēto nodokļu maksātāju nav pieņemts lēmums par nokavēto nodokļu maksājumu labprātīgu izpildi (vienošanās par labprātīgu nodokļu samaksu), ņemot vērā to, ka šis ir viens no noteiktajiem kritērijiem, un to, ka šādi nodokļu maksātāji tiek iekļauti VID administrēto nodokļu pārādnieku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1.3.sadaļas apakšsadaļu "Problēmas un risinājumi" ar informāciju par problēmām līdzšinējo pasākumu īstenošanā, to mērķu sasniegšanā un nepieciešamību pēc jaunas integrētas pieejas, t.sk. iezīmējot galvenās izmaiņas pasākumu konceptos”. Vēršam uzmanību, ka anotācijā iekļautā informācija, ka “esošās programmas līdz šim ir strādājušas veiksmīgi” ir ļoti vispārīga, nekonkrēta, un nav pamatota ar konkrētiem pierādījumiem, statistiku vai citiem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11.punktā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vai </w:t>
            </w:r>
            <w:r w:rsidR="00000000" w:rsidRPr="00000000" w:rsidDel="00000000">
              <w:rPr>
                <w:rtl w:val="0"/>
              </w:rPr>
              <w:t xml:space="preserve">plānots piemērot Regulas Nr. 2021/1060 95.pantu - finansējums, kas nav saistīts ar izmaksām vai precizēt atsauci uz atbilstošu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ka vienotā personāla atlīdzības likme ir rēķināma no pārējām tiešajām attiecināmajām izmaksām, kas nav personāla atlīdzības izmaksas, nevis no projekta kopējām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 pēdējā rindkopā vārdus "vai Eiropas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iekļauts izziņas 259.punktā un nepiekrītam skaidrojumam, kas sniegts anotācijā: “[..] </w:t>
            </w:r>
            <w:r w:rsidR="00000000" w:rsidRPr="00000000" w:rsidDel="00000000">
              <w:rPr>
                <w:i w:val="1"/>
                <w:rtl w:val="0"/>
              </w:rPr>
              <w:t xml:space="preserve">tīmekļvietnes un internetveikalu izveide nav tieši saistīta ar eksportējošiem daudzumiem, taču tā uzturēšanas izmaksas (domēna vārda uzturēšanas gada maksa, hostinga jeb mājas lapu uzturēšanas u.c. izmaksas), varētu tikt uzskatītas kā kārtējie (atkārtotie) izdevumi, kuriem atbalstu nesniedz. Līdz ar to ir atbalstāmas tikai tādas tīmekļvietnes un interneta veikala izstrādes izmaksas, kas nav saistītas ar eksporta darbībām uz kādu konkrētu ES dalībvalsti vai trešo valsti, un izmaksas nav tieši saistītas ar izplatīšanas tīkla izveidi konkrētas valsts potenciālo pircēju iegūšanai.</w:t>
            </w:r>
            <w:r w:rsidR="00000000" w:rsidRPr="00000000" w:rsidDel="00000000">
              <w:rPr>
                <w:rtl w:val="0"/>
              </w:rPr>
              <w:t xml:space="preserve">”, jo tas neatbilst Eiropas Komisijas skaidrojumam, kas pieminēts Finanšu ministrijas iebildumā, kas iekļauts izziņas 121.punktā. Lūdzam atbilstoši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ministrijas rīcībā ir Eiropas Komisijas vai ES tiesas skaidrojums, kas pamato anotācijā iekļauto informāciju, aicinām sniegt atsauci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var iesniegt projektu iesniegumu tikai par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w:t>
            </w:r>
            <w:r w:rsidR="00000000" w:rsidRPr="00000000" w:rsidDel="00000000">
              <w:rPr>
                <w:rtl w:val="0"/>
              </w:rPr>
              <w:t xml:space="preserve"> un </w:t>
            </w:r>
            <w:r w:rsidR="00000000" w:rsidRPr="00000000" w:rsidDel="00000000">
              <w:rPr>
                <w:rtl w:val="0"/>
              </w:rPr>
              <w:t xml:space="preserve">VI</w:t>
            </w:r>
            <w:r w:rsidR="00000000" w:rsidRPr="00000000" w:rsidDel="00000000">
              <w:rPr>
                <w:rtl w:val="0"/>
              </w:rPr>
              <w:t xml:space="preserve"> nodaļā minētajām atbalstāmajām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jaunais princips paredz tikai vienu projekta iesniegumu, aicinām objektīvi izvērtēt šī punkta nepieciešamību, jo atbalstāmās darbības ir noteiktas arī MK noteikumu 18.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sagatavo projekta iesniegumu atbilstoši projektu iesniegumu atlases nolikuma prasībām un iesniedz to sadarbības iestādē, izmantojot Kohēzijas politikas fondu vadības informācijas sistēmu. Projekta iesniedzējs projekta iesniegumā plāno šādus atbalsta pasākumu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dzēst šī punkta otro teikumu ar apakšpunktiem, izsakot 14. punktu šādā redakcijā:  "</w:t>
            </w:r>
            <w:r w:rsidR="00000000" w:rsidRPr="00000000" w:rsidDel="00000000">
              <w:rPr>
                <w:i w:val="1"/>
                <w:rtl w:val="0"/>
              </w:rPr>
              <w:t xml:space="preserve">Projekta iesniedzējs sagatavo projekta iesniegumu par šo noteikumu 4. punkta aktivitātēm atbilstoši projektu iesniegumu atlases nolikuma prasībām un iesniedz to sadarbības iestādē, izmantojot Kohēzijas politikas fondu vadības informācijas sistēmu.</w:t>
            </w:r>
            <w:r w:rsidR="00000000" w:rsidRPr="00000000" w:rsidDel="00000000">
              <w:rPr>
                <w:rtl w:val="0"/>
              </w:rPr>
              <w:t xml:space="preserve">", jo par pasākuma atbalsta veidiem jau ir norādīts noteikumu projekta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Visiem šo noteikumu </w:t>
            </w:r>
            <w:r w:rsidR="00000000" w:rsidRPr="00000000" w:rsidDel="00000000">
              <w:rPr>
                <w:rtl w:val="0"/>
              </w:rPr>
              <w:t xml:space="preserve">14.</w:t>
            </w:r>
            <w:r w:rsidR="00000000" w:rsidRPr="00000000" w:rsidDel="00000000">
              <w:rPr>
                <w:rtl w:val="0"/>
              </w:rPr>
              <w:t xml:space="preserve"> punktā minētajiem pasākumu veidiem atbalstāmas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18.10.</w:t>
            </w:r>
            <w:r w:rsidR="00000000" w:rsidRPr="00000000" w:rsidDel="00000000">
              <w:rPr>
                <w:rtl w:val="0"/>
              </w:rPr>
              <w:t xml:space="preserve"> un </w:t>
            </w:r>
            <w:r w:rsidR="00000000" w:rsidRPr="00000000" w:rsidDel="00000000">
              <w:rPr>
                <w:rtl w:val="0"/>
              </w:rPr>
              <w:t xml:space="preserve">18.11.</w:t>
            </w:r>
            <w:r w:rsidR="00000000" w:rsidRPr="00000000" w:rsidDel="00000000">
              <w:rPr>
                <w:rtl w:val="0"/>
              </w:rPr>
              <w:t xml:space="preserve"> apakšpunktos minētās darbības. Šo noteikumu </w:t>
            </w:r>
            <w:r w:rsidR="00000000" w:rsidRPr="00000000" w:rsidDel="00000000">
              <w:rPr>
                <w:rtl w:val="0"/>
              </w:rPr>
              <w:t xml:space="preserve">14.3.</w:t>
            </w:r>
            <w:r w:rsidR="00000000" w:rsidRPr="00000000" w:rsidDel="00000000">
              <w:rPr>
                <w:rtl w:val="0"/>
              </w:rPr>
              <w:t xml:space="preserve"> apakšpunktā noteiktajai aktivitātei atbalstāmas </w:t>
            </w:r>
            <w:r w:rsidR="00000000" w:rsidRPr="00000000" w:rsidDel="00000000">
              <w:rPr>
                <w:rtl w:val="0"/>
              </w:rPr>
              <w:t xml:space="preserve">18.3.</w:t>
            </w:r>
            <w:r w:rsidR="00000000" w:rsidRPr="00000000" w:rsidDel="00000000">
              <w:rPr>
                <w:rtl w:val="0"/>
              </w:rPr>
              <w:t xml:space="preserve"> apakšpunktā minētās darbības, </w:t>
            </w:r>
            <w:r w:rsidR="00000000" w:rsidRPr="00000000" w:rsidDel="00000000">
              <w:rPr>
                <w:rtl w:val="0"/>
              </w:rPr>
              <w:t xml:space="preserve">14.2.</w:t>
            </w:r>
            <w:r w:rsidR="00000000" w:rsidRPr="00000000" w:rsidDel="00000000">
              <w:rPr>
                <w:rtl w:val="0"/>
              </w:rPr>
              <w:t xml:space="preserve"> apakšpunktā noteiktajai aktivitātei atbalstāmas </w:t>
            </w:r>
            <w:r w:rsidR="00000000" w:rsidRPr="00000000" w:rsidDel="00000000">
              <w:rPr>
                <w:rtl w:val="0"/>
              </w:rPr>
              <w:t xml:space="preserve">18.13.</w:t>
            </w:r>
            <w:r w:rsidR="00000000" w:rsidRPr="00000000" w:rsidDel="00000000">
              <w:rPr>
                <w:rtl w:val="0"/>
              </w:rPr>
              <w:t xml:space="preserve"> apakšpunktā minētās darbības bet </w:t>
            </w:r>
            <w:r w:rsidR="00000000" w:rsidRPr="00000000" w:rsidDel="00000000">
              <w:rPr>
                <w:rtl w:val="0"/>
              </w:rPr>
              <w:t xml:space="preserve">14.1.</w:t>
            </w:r>
            <w:r w:rsidR="00000000" w:rsidRPr="00000000" w:rsidDel="00000000">
              <w:rPr>
                <w:rtl w:val="0"/>
              </w:rPr>
              <w:t xml:space="preserve"> apakšpunktā noteiktajai aktivitātei atbalstāmas </w:t>
            </w:r>
            <w:r w:rsidR="00000000" w:rsidRPr="00000000" w:rsidDel="00000000">
              <w:rPr>
                <w:rtl w:val="0"/>
              </w:rPr>
              <w:t xml:space="preserve">18.4.</w:t>
            </w:r>
            <w:r w:rsidR="00000000" w:rsidRPr="00000000" w:rsidDel="00000000">
              <w:rPr>
                <w:rtl w:val="0"/>
              </w:rPr>
              <w:t xml:space="preserve"> un </w:t>
            </w:r>
            <w:r w:rsidR="00000000" w:rsidRPr="00000000" w:rsidDel="00000000">
              <w:rPr>
                <w:rtl w:val="0"/>
              </w:rPr>
              <w:t xml:space="preserve">18.12.</w:t>
            </w:r>
            <w:r w:rsidR="00000000" w:rsidRPr="00000000" w:rsidDel="00000000">
              <w:rPr>
                <w:rtl w:val="0"/>
              </w:rPr>
              <w:t xml:space="preserve"> apakšpunktos minētās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tiek paredzēts vairs tikai viens projekta iesniegums, aicinām izvērtēt iespēju atteikties no 19. punkta un tā vietā norādes uz izņēmumiem iekļaujot jau attiecīgā 18. punkta apakšpunktā, piemēram, 18.3. apakšpunktā norādot "tikai 14.3. apakšpunktā minētās aktivitātes ietvaros", 18.13. apakšpunktā norādot "tikai 14.2. apakšpunktā minētās aktivitātes ietvaros",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darba braucienu un komandējumu izmaksas - attiecināmas saskaņā ar normatīvajiem aktiem par kārtību, kādā atlīdzināmi ar komandējumiem un darbinieku darba braucieniem saistītie izdevumi;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komandējumu izmaksās ietilpst arī ārvalstu komandējumi. Lūdzam ņemt vērā, ka saskaņā ar Vadlīniju Nr.1.2. "Vadlīnijas attiecināmo izmaksu noteikšanas Eiropas Savienības Kohēzijas politikas programmas 2021.-2027.gada plānošanas periodā" 62.atsaucē noteikto  "Ārvalstu komandējumu izmaksas attiecināmas tikai projekta īstenošanas personālam un projekta vadītājam". Līdz ar to nepieciešamības gadījumā lūdzam attiecīgi precizēt gan Ministru kabineta noteikumos, gan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pretendents atbalstam piesakās, iesniedzot pieteikumu strukturētā formā valsts platformā biznesa attīstībai www.business.gov.lv.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iepriekš nav lietots termins "atbalsta pretendents" - aicinām salāgot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Aktivitātes ietvaros atbalstāmas šādas finansējuma saņēmēja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(punkts dublē 18. un 19. punktā sniegto informāciju) vai pārfrāzēt, norādot, ka šis punkts regulē atbalstu, kāds pieejams gala labuma guvējam, nevis finansējuma saņēmēja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43.2.</w:t>
            </w:r>
            <w:r w:rsidR="00000000" w:rsidRPr="00000000" w:rsidDel="00000000">
              <w:rPr>
                <w:rtl w:val="0"/>
              </w:rPr>
              <w:t xml:space="preserve"> apakšpunktā minēto atbalstāmo darbību ietvaros radušās izmaksas ir attiecināmas atbilstoši atbildīgās iestādes izstrādātajai vienkāršoto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šo punktu, norādot atsauci uz konkrētu III. nodaļā norādītu izmaksu pozīciju, kuras attiecināmas atbilstoši atbildīgās iestādes izstrādātajai vienkāršoto izmaksu metodikai, kas saskaņota ar vadošo iestādi – vēršam uzmanību, ka saskaņā ar III. nodaļā norādīto informāciju uz inkubācijas atbalsta nodrošināšanu attiecināmas vairākas izmaksu pozīcijas.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izstrādā kārtību par gala labuma guvēju atlasi, nosacījumiem, (t.sk., maksimālo darbību skaitu, pieejamo atbalsta apjomu), atbalsta piešķiršanu un tā uzskaiti. Finansējuma saņēmējam minētajā kārtībā ir pienākums norādīt, kā sniegtais atbalsts nodrošinās gala labuma guvēja izaugsmi vidēji augsto un augsto tehnoloģiju, un radošo industriju jomā. Finansējuma saņēmējs lēmumu par atbalsta piešķiršanu pieņem saskaņā ar minēto kārtību. Tāpat Finansējuma saņēmējs izstrādā kārtību (metodiku), kādā identificē un nosaka pasākuma mērķa grupas, nosakot atbalsta saņēmēju loku, kas kvalificējas konkrētā komercdarbības atbalsta saņemšanai, tai skaitā, kā tiks identificētas saimnieciskās aktivitātes, kas tiek kvalificētas kā komercdarbības atbalsts, un saimnieciskās aktivitātes, kas netiek kvalificētas kā komercdarbības atbalsts, tādējādi nosakot, kuram mērķa grupas subjektam tiks piemērots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17.punktā minēto, lūdzam izvērtēt, vai šajā punktā nav nepieciešams papildināt arī ar universitātēm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Šajos noteikumos minētās izmaksas ir attiecināmas sākot ar šo noteikumu spēkā stāšanās datumu.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šis attiecināmības brīdis attiecas arī uz gala saņēmēju attiecināmajām izmaksām - proti, vai to izmaksas ir attiecināmas, lai arī gala saņēmēju atlase vēl nav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Sadarbības iestādei ir tiesības vienpusēji atkāpties no noslēgtā līguma par atbalsta sniegšanu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pārcelt 67. punktā iekļauto informāciju par Sadarbības iestādes tiesībām vienpusēji atkāpties no noslēgtā līguma uz anotāciju, ņemot vērā, ka šī informācija dublēs horizontālajos MK noteikumos "Kārtība, kādā Eiropas Savienības fondu vadībā iesaistītās institūcijas nodrošina šo fondu ieviešanu 2021.–2027.gada plānošanas periodā"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Finansējuma saņēmējs nodrošina informācijas un publicitātes pasākumus saskaņā ar Regulas  Nr. 2021/1060 47. pantu un 50. pantu un normatīvajiem aktiem par Eiropas Savienības fondu ieviešanu 2021.–2027.gada plānošanas periodā, kā arī ievēro saistītās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69.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Regulas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tas atbilst grūtībās nonākuša komersanta statusam saskaņā ar Regulas Nr. 651/2014 2. panta 18. punktu. Prasība attiecas uz komersantu, ja atbalsts tiek piešķirts saskaņā ar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paredzēta atbalsta sniegšana saskaņā ar Regulu Nr. 651/2014 - lūdzam dzēst punkta otro teikumu vai atteikties no prasības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šo noteikumu </w:t>
            </w:r>
            <w:r w:rsidR="00000000" w:rsidRPr="00000000" w:rsidDel="00000000">
              <w:rPr>
                <w:rtl w:val="0"/>
              </w:rPr>
              <w:t xml:space="preserve">38.</w:t>
            </w:r>
            <w:r w:rsidR="00000000" w:rsidRPr="00000000" w:rsidDel="00000000">
              <w:rPr>
                <w:rtl w:val="0"/>
              </w:rPr>
              <w:t xml:space="preserve"> punktā minētajiem gala labuma guvējiem šo noteikumu </w:t>
            </w:r>
            <w:r w:rsidR="00000000" w:rsidRPr="00000000" w:rsidDel="00000000">
              <w:rPr>
                <w:rtl w:val="0"/>
              </w:rPr>
              <w:t xml:space="preserve">18.4.</w:t>
            </w:r>
            <w:r w:rsidR="00000000" w:rsidRPr="00000000" w:rsidDel="00000000">
              <w:rPr>
                <w:rtl w:val="0"/>
              </w:rPr>
              <w:t xml:space="preserve"> un </w:t>
            </w:r>
            <w:r w:rsidR="00000000" w:rsidRPr="00000000" w:rsidDel="00000000">
              <w:rPr>
                <w:rtl w:val="0"/>
              </w:rPr>
              <w:t xml:space="preserve">18.6.</w:t>
            </w:r>
            <w:r w:rsidR="00000000" w:rsidRPr="00000000" w:rsidDel="00000000">
              <w:rPr>
                <w:rtl w:val="0"/>
              </w:rPr>
              <w:t xml:space="preserve"> apakšpunktā un </w:t>
            </w:r>
            <w:r w:rsidR="00000000" w:rsidRPr="00000000" w:rsidDel="00000000">
              <w:rPr>
                <w:rtl w:val="0"/>
              </w:rPr>
              <w:t xml:space="preserve">39.</w:t>
            </w:r>
            <w:r w:rsidR="00000000" w:rsidRPr="00000000" w:rsidDel="00000000">
              <w:rPr>
                <w:rtl w:val="0"/>
              </w:rPr>
              <w:t xml:space="preserve"> punktā minētajām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18. punkta apakšpunktos ir norādītas finansējuma saņēmēja atbalstāmās darbības, nevis gala labuma guvējiem pieejamais atbalsts. Lūdzam precizēt atsauces uz MK noteikumu punktiem (attiecas arī uz turpmākajiem 77. 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šo noteikumu </w:t>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18.6.</w:t>
            </w:r>
            <w:r w:rsidR="00000000" w:rsidRPr="00000000" w:rsidDel="00000000">
              <w:rPr>
                <w:rtl w:val="0"/>
              </w:rPr>
              <w:t xml:space="preserve"> apakšpunktos minētajām darbībām ir 100% no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18. punkta apakšpunktos ir norādītas finansējuma saņēmēja atbalstāmās darbības, nevis gala labuma guvējiem pieejamais atbalsts (kas norādīts IV, V un VI. sadaļā). Lūdzam precizēt atsauces uz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 minētajām izmaksām maksimāli pieļaujamā finansējuma intensitāte ir 100 % no ārpakalpojuma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un 25. punktā norādītas finansējuma saņēmēja attiecināmās izmaksas, taču finansējuma sānēmējs nav </w:t>
            </w:r>
            <w:r w:rsidR="00000000" w:rsidRPr="00000000" w:rsidDel="00000000">
              <w:rPr>
                <w:i w:val="1"/>
                <w:rtl w:val="0"/>
              </w:rPr>
              <w:t xml:space="preserve">de minimis </w:t>
            </w:r>
            <w:r w:rsidR="00000000" w:rsidRPr="00000000" w:rsidDel="00000000">
              <w:rPr>
                <w:rtl w:val="0"/>
              </w:rPr>
              <w:t xml:space="preserve">atbalsta saņēmējs. Lūdzam precizēt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aizstāt vārdus "Eiropas Savienības fonda" pirms skaitļiem un vārdiem "2014.-2020. gada plānošanas perioda" ar vārdiem "Eiropas Savienības struktūrfondu un Kohēzijas fonda".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2014.—2020. gada plānošanas perioda.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1.2.3.1. pasākuma ietvaros plānotais kopējais attiecināmais finansējums kopā ar elastības finansējumu ir 74 350 000 euro, lūdzam attiecīgi anotācijas 3.sadaļā ietekmi uz budžetu, tajā skaitā 6.punktā norādīto finansējuma izlietojumu pa gadiem atspoguļot minētajā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2023.gadu, attiecīgi projekta ietekmi uz budžetu atspoguļojot korektajās ailēs, vienlaikus 6.punktā svītrojot informāciju par 2022.gadu.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Centrālās finanšu un līgumu aģentūrai izsludināt projektu pieteikumu atlasi pēc Eiropas Komisijas lēmuma par Latvijas virzītās Eiropas Savienības kohēzijas politikas programmas 2021.–2027.gadam apstiprināšanas un pēc projekta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 Latvijas virzīto Eiropas Savienības kohēzijas politikas programmu 2021.–2027.gadam ir apstiprinājusi, aicinām atteikties no šīs norādes 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