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tas atbilst grūtībās nonākuša komersanta statusam un uz to attiecas vismaz viena no </w:t>
            </w:r>
            <w:r w:rsidR="00000000" w:rsidRPr="00000000" w:rsidDel="00000000">
              <w:rPr>
                <w:rtl w:val="0"/>
              </w:rPr>
              <w:t xml:space="preserve">Eiropas Komisijas 2014. gada 17. jūnija Regulas (ES) Nr.  651/2014, ar ko noteiktas atbalsta kategorijas atzīst par saderīgām ar iekšējo tirgu, piemērojot Līguma 107. un 108. pantu (Eiropas Savienības Oficiālais Vēstnesis, 2014. gada 26. jūnijs, Nr. L 187) </w:t>
            </w:r>
            <w:r w:rsidR="00000000" w:rsidRPr="00000000" w:rsidDel="00000000">
              <w:rPr>
                <w:rtl w:val="0"/>
              </w:rPr>
              <w:t xml:space="preserve"> (turpmāk - Regula Nr. 651/2014) 2. panta 18. punktā minētajām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gadījumos, kad uzņēmums neatbilst normatīvajos aktos noteiktajiem kritērijiem, lai tam pēc kreditoru pieprasījuma pieprasītu maksātnespējas procedūru, nav iespējams pārliecināties publiski pieejamos resursos un tas ir jāvērtē pamatojoties uz uzņēmuma apliecinājumu, lūdzam papildināt noteikumu projektu ar nosacījumu, ka komersants iesniedz apliecinājumu Eiropas Komisijas 2014.gada 17.jūnija Regulas (ES) Nr.651/2014,  ar ko noteiktas atbalsta kategorijas atzīst par saderīgām ar iekšējo tirgu, piemērojot Līguma 107. un 108. pantu (turpmāk – Komisijas regulas Nr.651/2014)  2.panta 18.punkta c) apakšpunktā ietvertā nosacījuma, ka uzņēmumam netiek piemērota maksātnespējas procedūra, vai tas neatbilst savas valsts tiesību aktos noteiktiem kritērijiem, lai tam pēc kreditoru pieprasījuma piemērotu maksātnespējas procedūru ievērošanai. Papildus lūdzam redakcionāli precizēt, ka nosacījums ir jāizpilda atbalsta pretendentam kā komercdarbības atbalsta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30.punktu par neattiecināmajām izmaksām, ņemot vērā, ka Atveseļošanas fonda ietvaros neattiecināmās izmaksas nav plānojamas atbilstoši vadlīniju Nr.1 “Vadlīnijas informatīvā ziņojuma vai Ministru kabineta noteikumu izstrādei par Eiropas Savienības Atveseļošanas un noturības mehānisma plāna reformas vai investīcijas ieviešanu”  32.punktam.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iesniedzējs projekta īstenošanai var piesaistīt papildu publiskos līdzekļus, piemēram, pašvaldības finansējumu vai pašvaldības aizņēmumu Valsts kasē uz tirgus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2023. gadam un budžeta ietvaru 2023., 2024. un 2025. gadam” 36.panta pirmās daļas 2.punktu pašvaldības var saņemt aizņēmumus AF finansēto projektu īstenošanai ar aizņēmuma apmēru, kas nepārsniedz projekta AF finansējuma kopsummu, un pievienotās vērtības nodokļa izmaksām. Līdz ar to  lūdzam svītrot teikuma beigu daļu “vai pašvaldības aizņēmumu Valsts kasē uz tirgus nosacījumiem” un attiecīgi precizēt arī anotācijas 1.3. daļas “Pašreizējā situācija, problēmas un risinājumi”  sadaļas “Pašreizējā situācija”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w:t>
            </w:r>
            <w:r w:rsidR="00000000" w:rsidRPr="00000000" w:rsidDel="00000000">
              <w:rPr>
                <w:rtl w:val="0"/>
              </w:rPr>
              <w:t xml:space="preserve">29.11.</w:t>
            </w:r>
            <w:r w:rsidR="00000000" w:rsidRPr="00000000" w:rsidDel="00000000">
              <w:rPr>
                <w:rtl w:val="0"/>
              </w:rPr>
              <w:t xml:space="preserve"> apakšpunktā minētajām darbībām, atbilstoši </w:t>
            </w:r>
            <w:r w:rsidR="00000000" w:rsidRPr="00000000" w:rsidDel="00000000">
              <w:rPr>
                <w:rtl w:val="0"/>
              </w:rPr>
              <w:t xml:space="preserve">Regulas Nr. 651/2014</w:t>
            </w:r>
            <w:r w:rsidR="00000000" w:rsidRPr="00000000" w:rsidDel="00000000">
              <w:rPr>
                <w:rtl w:val="0"/>
              </w:rPr>
              <w:t xml:space="preserve"> 36a. panta nosacījumiem, izmaksu pozīcijai nepārsniedzot 40 procentus vienam uzņēmumam no investīcijas kopējām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100% atbalsta intensitāte atbilstoši Komisijas regulas Nr.651/2014 36a panta 5.punktā noteiktajam ir iespējama, ja tiek ievērota atklāta, pārredzama, nediskriminējoša un konkurenci nodrošinošā konkursa procedūra (kā aprakstīts Komisijas regulas Nr.651/2014 36a panta 4.punktā). Lūdzam ietvert šo nosacījumu piemērošanas nepieciešamību šajā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apakšpunktos noteikto projektu īstenošanai, kas kvalificējās kā komercdarbības atbalsts un tiek īstenots atbilstoši </w:t>
            </w:r>
            <w:r w:rsidR="00000000" w:rsidRPr="00000000" w:rsidDel="00000000">
              <w:rPr>
                <w:rtl w:val="0"/>
              </w:rPr>
              <w:t xml:space="preserve">Regulas Nr. 651/2014</w:t>
            </w:r>
            <w:r w:rsidR="00000000" w:rsidRPr="00000000" w:rsidDel="00000000">
              <w:rPr>
                <w:rtl w:val="0"/>
              </w:rPr>
              <w:t xml:space="preserve">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 ietverto: "</w:t>
            </w:r>
            <w:r w:rsidR="00000000" w:rsidRPr="00000000" w:rsidDel="00000000">
              <w:rPr>
                <w:i w:val="1"/>
                <w:rtl w:val="0"/>
              </w:rPr>
              <w:t xml:space="preserve">vai gadījumos, ja plānots piesaistīt komersantu infrastruktūras apsaimniekošanas nodrošināšanai</w:t>
            </w:r>
            <w:r w:rsidR="00000000" w:rsidRPr="00000000" w:rsidDel="00000000">
              <w:rPr>
                <w:rtl w:val="0"/>
              </w:rPr>
              <w:t xml:space="preserve">", vēršam uzmanību, ka gadījumā, ja infrastruktūra ir pieejama visiem bez maksas un diskriminācijas un to nav plānots izmantots saimnieciskās darbības veikšanai, piem., iznomāt, tas vien, ka infrastruktūras uzturēšanai tiek piesaistīts apsaimniekotājs, vēl nenozīmē, ka atbalsts šādai infrastruktūrai kvalificējams kā komercdarbības atbalsts un jāpiemēro, piem.,  Komisijas regulas Nr.651/2014 56.pants. Lūdzam izvērtēt un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apakšpunktos noteikto projektu īstenošanai, kas kvalificējās kā komercdarbības atbalsts un tiek īstenots atbilstoši </w:t>
            </w:r>
            <w:r w:rsidR="00000000" w:rsidRPr="00000000" w:rsidDel="00000000">
              <w:rPr>
                <w:rtl w:val="0"/>
              </w:rPr>
              <w:t xml:space="preserve">Regulas Nr. 651/2014</w:t>
            </w:r>
            <w:r w:rsidR="00000000" w:rsidRPr="00000000" w:rsidDel="00000000">
              <w:rPr>
                <w:rtl w:val="0"/>
              </w:rPr>
              <w:t xml:space="preserve">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"pamatdarbības peļņas" definīciju atbilstoši Komisijas regulas Nr.651/2014 2.panta 39.punktam.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29.1.</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un </w:t>
            </w:r>
            <w:r w:rsidR="00000000" w:rsidRPr="00000000" w:rsidDel="00000000">
              <w:rPr>
                <w:rtl w:val="0"/>
              </w:rPr>
              <w:t xml:space="preserve">29.17.</w:t>
            </w:r>
            <w:r w:rsidR="00000000" w:rsidRPr="00000000" w:rsidDel="00000000">
              <w:rPr>
                <w:rtl w:val="0"/>
              </w:rPr>
              <w:t xml:space="preserve"> apakšpunktā minētās izmaksas, veiktas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 un </w:t>
            </w:r>
            <w:r w:rsidR="00000000" w:rsidRPr="00000000" w:rsidDel="00000000">
              <w:rPr>
                <w:rtl w:val="0"/>
              </w:rPr>
              <w:t xml:space="preserve">11.5.</w:t>
            </w:r>
            <w:r w:rsidR="00000000" w:rsidRPr="00000000" w:rsidDel="00000000">
              <w:rPr>
                <w:rtl w:val="0"/>
              </w:rPr>
              <w:t xml:space="preserve"> apakšpunktos minēto projektu īstenošanas ietvaros ir attiecināmas arī tad, ja tās radušās pirms projekta iesnieguma iesniegšanas, piemērojot</w:t>
            </w:r>
            <w:r w:rsidR="00000000" w:rsidRPr="00000000" w:rsidDel="00000000">
              <w:rPr>
                <w:rtl w:val="0"/>
              </w:rPr>
              <w:t xml:space="preserve"> Eiropas Komisijas 2013. gada 18. decembra Regulas (ES) Nr. 1407/2013 par Līguma par Eiropas Savienības darbību 107. un 108. panta piemērošanu de minimis atbalstam</w:t>
            </w:r>
            <w:r w:rsidR="00000000" w:rsidRPr="00000000" w:rsidDel="00000000">
              <w:rPr>
                <w:rtl w:val="0"/>
              </w:rPr>
              <w:t xml:space="preserve"> (turpmāk – </w:t>
            </w:r>
            <w:r w:rsidR="00000000" w:rsidRPr="00000000" w:rsidDel="00000000">
              <w:rPr>
                <w:i w:val="1"/>
                <w:rtl w:val="0"/>
              </w:rPr>
              <w:t xml:space="preserve">de minimis</w:t>
            </w:r>
            <w:r w:rsidR="00000000" w:rsidRPr="00000000" w:rsidDel="00000000">
              <w:rPr>
                <w:rtl w:val="0"/>
              </w:rPr>
              <w:t xml:space="preserve">) nosacījumus, ja pēc projekta iesniegšanas attiecīgo darbību īstenošanai tiek piemēroti komercdarbības atbalsta nosacījumi, saskaņā ar šo noteikumu </w:t>
            </w:r>
            <w:r w:rsidR="00000000" w:rsidRPr="00000000" w:rsidDel="00000000">
              <w:rPr>
                <w:rtl w:val="0"/>
              </w:rPr>
              <w:t xml:space="preserve">40.3.</w:t>
            </w:r>
            <w:r w:rsidR="00000000" w:rsidRPr="00000000" w:rsidDel="00000000">
              <w:rPr>
                <w:rtl w:val="0"/>
              </w:rPr>
              <w:t xml:space="preserve"> ​​​​​​​ un </w:t>
            </w:r>
            <w:r w:rsidR="00000000" w:rsidRPr="00000000" w:rsidDel="00000000">
              <w:rPr>
                <w:rtl w:val="0"/>
              </w:rPr>
              <w:t xml:space="preserve">40.4.</w:t>
            </w:r>
            <w:r w:rsidR="00000000" w:rsidRPr="00000000" w:rsidDel="00000000">
              <w:rPr>
                <w:rtl w:val="0"/>
              </w:rPr>
              <w:t xml:space="preserve"> ​​​​​​​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izslēgt teikuma beigas: "</w:t>
            </w:r>
            <w:r w:rsidR="00000000" w:rsidRPr="00000000" w:rsidDel="00000000">
              <w:rPr>
                <w:i w:val="1"/>
                <w:rtl w:val="0"/>
              </w:rPr>
              <w:t xml:space="preserve"> ja pēc projekta iesniegšanas attiecīgo darbību īstenošanai tiek piemēroti komercdarbības atbalsta nosacījumi, saskaņā ar šo noteikumu 40.3.  un 40.4.  apakšpunktiem.</w:t>
            </w:r>
            <w:r w:rsidR="00000000" w:rsidRPr="00000000" w:rsidDel="00000000">
              <w:rPr>
                <w:rtl w:val="0"/>
              </w:rPr>
              <w:t xml:space="preserve">" vai precizēt. Skaidrojam, ka, lai netiktu pārkāptas stimulējošās ietekmes prasības, tostarp tiktu nodrošināta atbilstība darbu sākumu definīcijai un tajā minētajiem izņēmumiem, lūdzam ievērot, ka uzskaitītajām izmaksām jāpiemēro de minimis atbalsta regulējums, ja plānotās investīcijas ir investīcijas tādā infrastruktūrā, kuru plānots izmantot saimnieciskās darbības veikšanai, atbalsts, kurai tiek sniegts piemērojot Komisijas regulas Nr.651/2014 36a vai 56.panta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darbības (darbu sākums) pie projekta šo noteikumu </w:t>
            </w:r>
            <w:r w:rsidR="00000000" w:rsidRPr="00000000" w:rsidDel="00000000">
              <w:rPr>
                <w:rtl w:val="0"/>
              </w:rPr>
              <w:t xml:space="preserve">42.</w:t>
            </w:r>
            <w:r w:rsidR="00000000" w:rsidRPr="00000000" w:rsidDel="00000000">
              <w:rPr>
                <w:rtl w:val="0"/>
              </w:rPr>
              <w:t xml:space="preserve"> punktā noteiktajos gadījumos ir uzsāktas pirms projekta iesnieguma iesniegšanas brīža un ar komercdarbības atbalstu saistītās darbības un izmaksas nav nodalāmas, izmaksas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komercdarbības atbalsta gadījumā, ja ir pārkāptas stimulējošās ietekmes prasības, viss projekts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Komercdarbības atbalstu finansējuma saņēmējam piešķir, ievērojot visus šajā apakšpunktā minētus </w:t>
            </w:r>
            <w:r w:rsidR="00000000" w:rsidRPr="00000000" w:rsidDel="00000000">
              <w:rPr>
                <w:rtl w:val="0"/>
              </w:rPr>
              <w:t xml:space="preserve">Regulas Nr. 651/2014</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normu tā, lai ir skaidrs, ka šos nosacījumus ievēro, ja atbalsts tiek piešķirts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1. panta 1. punkta nosacījumus par gadījumiem, kādos piemēro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svītrot, jo Komisijas regulas Nr.651/2014 1.panta 1.punkts vispārīgi nosaka atbalsta kategorijas, kurām piemēro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1. panta 2. punkta nosacījumus par gadījumiem, kādos nepiemēro Komisijas regulu Nr. 651/2014;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Komisijas regulu Nr. 651/2014 nepiemēro tās 1. panta 2. punkta c) un d) noteiktajos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1. panta 4. punkta nosacījumus, ka atbalsts netiek sniegts saņēmējam, uz kuru attiecas līdzekļu atgūšanas rīkojums saskaņā ar iepriekšēju Komisijas lēmumu, ar ko atbalsts tiek atzīts par nelikumīgu un nesaderīgu ar kopējo tirgu, tai skaitā </w:t>
            </w:r>
            <w:r w:rsidR="00000000" w:rsidRPr="00000000" w:rsidDel="00000000">
              <w:rPr>
                <w:i w:val="1"/>
                <w:rtl w:val="0"/>
              </w:rPr>
              <w:t xml:space="preserve">ad hoc </w:t>
            </w:r>
            <w:r w:rsidR="00000000" w:rsidRPr="00000000" w:rsidDel="00000000">
              <w:rPr>
                <w:rtl w:val="0"/>
              </w:rPr>
              <w:t xml:space="preserve">atbalstam uzņēmumiem, kā arī atbalstam grūtības nonākušiem uzņēmumiem, izņemot atbalsta shēmas atsevišķu dabas katastrofu radīto zaudējumu atlīdzināšanai;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svītrot vārdus: "</w:t>
            </w:r>
            <w:r w:rsidR="00000000" w:rsidRPr="00000000" w:rsidDel="00000000">
              <w:rPr>
                <w:i w:val="1"/>
                <w:rtl w:val="0"/>
              </w:rPr>
              <w:t xml:space="preserve">tai skaitā ad hoc atbalstam uzņēmumiem, kā arī atbalstam grūtības nonākušiem uzņēmumiem, izņemot atbalsta shēmas atsevišķu dabas katastrofu radīto zaudējumu atlīdzināšanai", </w:t>
            </w:r>
            <w:r w:rsidR="00000000" w:rsidRPr="00000000" w:rsidDel="00000000">
              <w:rPr>
                <w:rtl w:val="0"/>
              </w:rPr>
              <w:t xml:space="preserve">lai nodrošinātu atbilstību Komisijas regulas Nr.651/2014 1.panta 4.punkta a)apakšpunktam.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2. panta 1., 15., 18., 21., 23., 26., 28., 37.-39., 56., 101., 126., 128. apakšpunktā norādītas definīcijas, kā arī 3. panta minētie atbrīvojuma piešķiršanas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101., 126. un 128.apakšpunktu definīciju lietošana, ņemot vērā, ka tas attiecas uz vides atbalstu. Lūdzam pārskatīt minēto punktu iekļaušanu.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 5. panta a), b) un j) nosacījumus, kas nosaka atbalsta pārredzamības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minētie apakšpunktu nosacījumi izriet no Komisijas regulas Nr.651/2014 5.panta 2.punkta. Vienlaikus iepriekšējā saskaņošanas etapā mūsu izpratne bija, ka atbalstu plānots sniegt granta veidā un no noteikumu projekta teksta nav nolasāms, ka šo noteikumu ietvaros atbalstu sniegs aizdevumu veidā un atmaksājamo avansu veidā. Lūdzam pārskatīt un atbilstoši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6. panta nosacījumus, kas nosaka, ka atbalstu piemēro tikai tādam darbībām, kam ir stimulējošā ietekme un projekta iesniedzējs pamato projektā plānotā atbalsta stimulējošo ietekmi atbilstoši Regulas Nr. 651/2014 6. panta 2. punkta nosacījumiem, iesniedzot rakstisku projekta iesniegumu.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rakstisks projekta iesniegums satur Komisijas regulas Nr.651/2014 6.panta 2.punktā noteikto informācijas apjoma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 8. panta nosacījumus, kas nosaka ka atbalstu, kas pasākuma ietvaros sniegts saskaņā ar Regulas Nr. 651/2014 36a. pantu, var apvienot ar citā komercdarbības atbalsta programmā vai individuālā atbalsta projektā sniegto atbalstu dažādām nosakāmām attiecināmajām izmaksām vai vienām un tām pašām attiecināmajām izmaksām saskaņā ar Regulas Nr. 651/2014 8. pantu, tai skaitā var apvienot ar citā komercdarbības atbalsta programmā vai individuālā atbalsta projektā sniegto de minimis atbalstu, nepārsniedzot maksimāli pieļaujamo atbalsta finansējuma intensitāti saskaņā ar Komisijas regulas Nr. 651/2014 36a. panta 5. un 6. un 7.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arī kumulācijas normu, ja atbalstu plānots sniegt, ievērojot Komisijas regulas Nr.651/2014 56.panta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9. panta nosacījumus par sniegtā komercdarbības atbalsta informācijas publicēšanu, ņemot vērā 2018. gada 21. novembra</w:t>
            </w:r>
            <w:r w:rsidR="00000000" w:rsidRPr="00000000" w:rsidDel="00000000">
              <w:rPr>
                <w:rtl w:val="0"/>
              </w:rPr>
              <w:t xml:space="preserve"> Ministru kabineta noteikumu Nr. 715 “Noteikumi par de minimis atbalsta uzskaites un piešķiršanas kārtību un de minimis atbalsta uzskaites veidlapu paraugiem” </w:t>
            </w:r>
            <w:r w:rsidR="00000000" w:rsidRPr="00000000" w:rsidDel="00000000">
              <w:rPr>
                <w:rtl w:val="0"/>
              </w:rPr>
              <w:t xml:space="preserve">(turpmāk - Ministru kabineta notekumi Nr. 715) un </w:t>
            </w:r>
            <w:r w:rsidR="00000000" w:rsidRPr="00000000" w:rsidDel="00000000">
              <w:rPr>
                <w:rtl w:val="0"/>
              </w:rPr>
              <w:t xml:space="preserve">2016. gada 21. jūnija Ministru kabineta noteikumu Nr. 386 “Kārtība, kādā publicē informāciju par sniegto komercdarbības atbalstu un piešķir un anulē elektroniskās sistēmas lietošanas tiesības”</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apakšpunktā ir ietvertas prasības, kas ir attiecināmās, ja atbalstu piešķir ar Komisijas regulu Nr.651/2014, lūdzam svītrot vārdus "</w:t>
            </w:r>
            <w:r w:rsidR="00000000" w:rsidRPr="00000000" w:rsidDel="00000000">
              <w:rPr>
                <w:i w:val="1"/>
                <w:rtl w:val="0"/>
              </w:rPr>
              <w:t xml:space="preserve">2018. gada 21. novembra Ministru kabineta noteikumu Nr. 715 “Noteikumi par de minimis atbalsta uzskaites un piešķiršanas kārtību un de minimis atbalsta uzskaites veidlapu paraugiem” (turpmāk - Ministru kabineta notekumi Nr. 715) un"</w:t>
            </w:r>
            <w:r w:rsidR="00000000" w:rsidRPr="00000000" w:rsidDel="00000000">
              <w:rPr>
                <w:rtl w:val="0"/>
              </w:rPr>
              <w:t xml:space="preserve">, jo šim nosacījumam būtu jāattiecas uz atbalstu, ko piešķir ar Eiropas Komisijas  2013.gada 18.decembra regulu (ES) Nr.1407/2013, par Līguma par Eiropas Savienības darbību 107. un 108. panta piemērošanu de minimis atbalstam (turpmāk Komisijas regula Nr.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Komercdarbības atbalsts šo noteikumu </w:t>
            </w:r>
            <w:r w:rsidR="00000000" w:rsidRPr="00000000" w:rsidDel="00000000">
              <w:rPr>
                <w:rtl w:val="0"/>
              </w:rPr>
              <w:t xml:space="preserve">29.11.</w:t>
            </w:r>
            <w:r w:rsidR="00000000" w:rsidRPr="00000000" w:rsidDel="00000000">
              <w:rPr>
                <w:rtl w:val="0"/>
              </w:rPr>
              <w:t xml:space="preserve"> apakšpunktā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ar šo punktu pārņem 2023.gada 9.martā Eiropas Komisijas apstiprinātos grozījumus Komisijas regulā Nr.651/2014, taču grozījumi Komisijas regulā Nr.651/2014 vēl nav stājušies spēkā, lūdzam anotācijā skaidrot, ka normas, kas pārņemtas ar Komisijas regulas Nr.651/2014 grozījumiem, stāsies spēkā pēc tam, kad stāsies spēkā grozījumi Komisijas regulā Nr.651/2014, t.i., nākamajā dienā pēc to publicēšanas Eiropas Savienības Oficiālajā Vēstnesī, taču vienlaikus grozījumi Komisijas regulā Nr.651/2014 paredz retroaktivitātes klauzulu (lūdzam skatīt GBER_amendment_2023_EC_communication_annex_0.pdf (europa.eu) 56.punktu par grozījumiem 58.panta 3a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saskaņā ar 10. punktu atbalsta nepieciešamību uzlādes infrastruktūrai nosaka, veicot atklātu </w:t>
            </w:r>
            <w:r w:rsidR="00000000" w:rsidRPr="00000000" w:rsidDel="00000000">
              <w:rPr>
                <w:i w:val="1"/>
                <w:rtl w:val="0"/>
              </w:rPr>
              <w:t xml:space="preserve">ex ante</w:t>
            </w:r>
            <w:r w:rsidR="00000000" w:rsidRPr="00000000" w:rsidDel="00000000">
              <w:rPr>
                <w:rtl w:val="0"/>
              </w:rPr>
              <w:t xml:space="preserve"> sabiedrisko apspriešanu vai neatkarīgu tirgus pētījumu, kas atbalsta piešķiršanas dienā nav veikts ātrāk par vienu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kurš veiks šādu ex ante sabiedrisko apspriešanu vai neatkarīgu tirgus pētījumu. Ņemot vērā to, ka atbalstu šī pasākuma ietvaros plānots sniegt jau iepriekš zināmiem mobilitātes punktiem, tad visdrīzāk šo regulas nosacījumu varētu būt iespējams izpildīt ar to dokumentāciju (sabiedrisko apspriešanu vai neatkarīgu tirgus pētījumu), kas bija pamatā lēmumam par ieguldījumiem konkrētajos mobilitātes punktos. Lūdzam atbilstoši precizēt noteikumu projektu un iekļaut skaidrojumu anotācijā. Lūdzam šo komentāru ņemt vērā arī attiecībā uz noteikumu projekta 47.7.punktu un atbilstoši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w:t>
            </w:r>
            <w:r w:rsidR="00000000" w:rsidRPr="00000000" w:rsidDel="00000000">
              <w:rPr>
                <w:i w:val="1"/>
                <w:rtl w:val="0"/>
              </w:rPr>
              <w:t xml:space="preserve">de minimis</w:t>
            </w:r>
            <w:r w:rsidR="00000000" w:rsidRPr="00000000" w:rsidDel="00000000">
              <w:rPr>
                <w:rtl w:val="0"/>
              </w:rPr>
              <w:t xml:space="preserve"> atbalsta piešķiršanu un uzskaiti nodrošina atbilstoši Ministru kabineta noteikumiem Nr. 715.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ietverot pilnu normatīvā akta nosaukumu - Ministru kabineta 2018.gada 21.novembra noteikumi Nr.715  “Noteikumi par de minimis atbalsta uzskaites un piešķiršanas kārtību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Atbilstoši Regulas Nr. 651/2014 12. panta 1. punktam un </w:t>
            </w:r>
            <w:r w:rsidR="00000000" w:rsidRPr="00000000" w:rsidDel="00000000">
              <w:rPr>
                <w:i w:val="1"/>
                <w:rtl w:val="0"/>
              </w:rPr>
              <w:t xml:space="preserve">de minimis</w:t>
            </w:r>
            <w:r w:rsidR="00000000" w:rsidRPr="00000000" w:rsidDel="00000000">
              <w:rPr>
                <w:rtl w:val="0"/>
              </w:rPr>
              <w:t xml:space="preserve">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nosacījums </w:t>
            </w:r>
            <w:r w:rsidR="00000000" w:rsidRPr="00000000" w:rsidDel="00000000">
              <w:rPr>
                <w:i w:val="1"/>
                <w:rtl w:val="0"/>
              </w:rPr>
              <w:t xml:space="preserve">de minimis 6. panta 4. punktam</w:t>
            </w:r>
            <w:r w:rsidR="00000000" w:rsidRPr="00000000" w:rsidDel="00000000">
              <w:rPr>
                <w:rtl w:val="0"/>
              </w:rPr>
              <w:t xml:space="preserve">, izriet no Komisijas regulas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komercdarbības atbalsta nosacījumu uzraudzību, kas noteikti Regulas Nr. 1370/2007 4., 5., 6. un 7. pantā un 1. pielikumā, šo noteikumu </w:t>
            </w:r>
            <w:r w:rsidR="00000000" w:rsidRPr="00000000" w:rsidDel="00000000">
              <w:rPr>
                <w:rtl w:val="0"/>
              </w:rPr>
              <w:t xml:space="preserve">11.2.</w:t>
            </w:r>
            <w:r w:rsidR="00000000" w:rsidRPr="00000000" w:rsidDel="00000000">
              <w:rPr>
                <w:rtl w:val="0"/>
              </w:rPr>
              <w:t xml:space="preserve"> apakšpunktā minētajam projektam nodrošina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Komisijas regulas Nr.1370/2007 atbalsta saņēmējs ir Rīgas Satiksme, nav skaidrs, kādu tieši uzraudzību nodrošinās ministrija, ja, kā tas ir atspoguļots arī 52.2.punktā, Rīgas valsts pilsēta nodrošina uzraudzību pār Rīgas Satiksmi noslēgtā līguma ietvaros saskaņā ar Komisijas regulas Nr.1370/2007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tiek pārkāptas šajos noteikumos noteiktās komercdarbības atbalsta regulējuma, un tieši, </w:t>
            </w:r>
            <w:r w:rsidR="00000000" w:rsidRPr="00000000" w:rsidDel="00000000">
              <w:rPr>
                <w:rtl w:val="0"/>
              </w:rPr>
              <w:t xml:space="preserve">Regulas Nr. 1370/2007</w:t>
            </w:r>
            <w:r w:rsidR="00000000" w:rsidRPr="00000000" w:rsidDel="00000000">
              <w:rPr>
                <w:rtl w:val="0"/>
              </w:rPr>
              <w:t xml:space="preserve">, </w:t>
            </w:r>
            <w:r w:rsidR="00000000" w:rsidRPr="00000000" w:rsidDel="00000000">
              <w:rPr>
                <w:rtl w:val="0"/>
              </w:rPr>
              <w:t xml:space="preserve">Regulas Nr. 651/2014</w:t>
            </w:r>
            <w:r w:rsidR="00000000" w:rsidRPr="00000000" w:rsidDel="00000000">
              <w:rPr>
                <w:rtl w:val="0"/>
              </w:rPr>
              <w:t xml:space="preserve"> un </w:t>
            </w:r>
            <w:r w:rsidR="00000000" w:rsidRPr="00000000" w:rsidDel="00000000">
              <w:rPr>
                <w:rtl w:val="0"/>
              </w:rPr>
              <w:t xml:space="preserve">Regulas Nr. 1470/2013</w:t>
            </w:r>
            <w:r w:rsidR="00000000" w:rsidRPr="00000000" w:rsidDel="00000000">
              <w:rPr>
                <w:rtl w:val="0"/>
              </w:rPr>
              <w:t xml:space="preserve"> prasības, finansējuma saņēmējam ir pienākums atmaksāt Aģentūrai visu projekta ietvaros nelikumīgi saņemto komercdarbības atbalstu kopā ar procentiem no līdzekļiem, par kuriem nav saņemts nekāds komercdarbības atbalsts,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nosacījumu par Komisijas regulas Nr.1407/2013 prasību pārkāpumu iekļaut atsevišķā noteikumu projekta punktā, jo de minimis atbalsta gadījumā atgūst visu saņemto de minimis atbalstu, piem., šādā redakcijā: "</w:t>
            </w:r>
            <w:r w:rsidR="00000000" w:rsidRPr="00000000" w:rsidDel="00000000">
              <w:rPr>
                <w:i w:val="1"/>
                <w:rtl w:val="0"/>
              </w:rPr>
              <w:t xml:space="preserve">Ja tiek konstatēts Komisijas regulas Nr.1407/2013 pārkāpums, [finansējuma saņēmējam] ir pienākums atmaksāt [Aģentūrai]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w:t>
            </w:r>
            <w:r w:rsidR="00000000" w:rsidRPr="00000000" w:rsidDel="00000000">
              <w:rPr>
                <w:i w:val="1"/>
                <w:rtl w:val="0"/>
              </w:rPr>
              <w:t xml:space="preserve">De minimis</w:t>
            </w:r>
            <w:r w:rsidR="00000000" w:rsidRPr="00000000" w:rsidDel="00000000">
              <w:rPr>
                <w:rtl w:val="0"/>
              </w:rPr>
              <w:t xml:space="preserve"> atbalstu šo noteikumu ietvaros piešķir līdz </w:t>
            </w:r>
            <w:r w:rsidR="00000000" w:rsidRPr="00000000" w:rsidDel="00000000">
              <w:rPr>
                <w:rtl w:val="0"/>
              </w:rPr>
              <w:t xml:space="preserve">Regulas Nr.1407/2013</w:t>
            </w:r>
            <w:r w:rsidR="00000000" w:rsidRPr="00000000" w:rsidDel="00000000">
              <w:rPr>
                <w:rtl w:val="0"/>
              </w:rPr>
              <w:t xml:space="preserve"> 8. pantā minētajam spēkā esamības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arī ar atsauci uz Komisijas regulas Nr.1407/2013 7.panta 4.punktu par pārejas periodu, kā arī lūdzam noteikumos ietvert nosacījumu, līdz kuram termiņam var piešķirt atbalstu saskaņā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projektā kopš iepriekšējā atzinuma sniegšanas veikti apjomīgi precizējumi, kā arī izrietoši atzinumā iekļauti vairāki iebildumi, aicinām izvērtēt nepieciešamību organizēt starpinstitūciju saskaņošanas sanāksmi, lai izrunātu neskaidros jautājumus un paātrinātu MK noteikumu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kādā īsteno Eiropas Savienības Atveseļošanas un noturības mehānisma plāna (turpmāk – AF plāns)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1.1.apakšpunktā vārdus "plāna (turpmāk - AF plāns)" ar vārdiem "(turpmāk - AF)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w:t>
            </w:r>
            <w:r w:rsidR="00000000" w:rsidRPr="00000000" w:rsidDel="00000000">
              <w:rPr>
                <w:rtl w:val="0"/>
              </w:rPr>
              <w:t xml:space="preserve">16.</w:t>
            </w:r>
            <w:r w:rsidR="00000000" w:rsidRPr="00000000" w:rsidDel="00000000">
              <w:rPr>
                <w:rtl w:val="0"/>
              </w:rPr>
              <w:t xml:space="preserve"> punktā minētās informācijas sniegšanai nav īsāks par piecām darbdienām no Ministrijas pieprasījuma saņemšanas. Finansējuma saņēmējs ir tiesīgs īstenot projektu un projekta informāciju uzskata par atbilstošu šiem noteikumiem, tostarp, ja finansējuma saņēmējs neatbilst </w:t>
            </w:r>
            <w:r w:rsidR="00000000" w:rsidRPr="00000000" w:rsidDel="00000000">
              <w:rPr>
                <w:rtl w:val="0"/>
              </w:rPr>
              <w:t xml:space="preserve">Regulas Nr. 2018/1046</w:t>
            </w:r>
            <w:r w:rsidR="00000000" w:rsidRPr="00000000" w:rsidDel="00000000">
              <w:rPr>
                <w:rtl w:val="0"/>
              </w:rPr>
              <w:t xml:space="preserve"> 136. pantā minētajiem izslēgšanas kritērijiem un finansējuma saņēmējam nav nodokļu vai nodevu parādu, kas kopsummā pārsniedz 150 euro, izņemot nodokļu maksājumus, kuru segšanai ir piešķirts samaksas termiņa pagarinājums.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17.punkta otro teikumu, jo tam nav juridiskā sloga, vai precizēt redakciju tā, lai tās piemērotajam būtu skaidrs ar normu uzliktais pienākums un tiesības. Gadījumā, ja redakcija tiek precizēta aicinām to iekļaut kā jaunu punktu, ņemot vērā, ka regulējums attiecas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Vienošanās vai līgumā var paredzēt avansa un noslēguma maksājumu. Avansa maksājumu paredz ne lielāku kā 30 procentu apmērā no šo noteikumu 6. punktā minētā kopējā finansējuma, ko veic, pamatojoties uz noslēgtajiem iepirkuma līgumiem vai projekta ietvaros veiktajiem izdevumiem, tai skaitā veiktajiem maksājumiem saskaņā ar pakalpojumu, preču piegādes vai būvdarbu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24.1.apakšpunktu ar vārdu "starpposma" aiz vārda "avansa", ņemot vērā, ka saskaņā ar noteikumu projekta 24.3.apakšpunktu tiek paredzēti arī starpposma maksājumi.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Vadības informācijas sistēmā sniedz visu nepieciešamo informāciju AF plāna uzraudzībā iesaistītajām institūcijām, ka arī Latvijas Republikas un Eiropas Komisijas finansēšanas nolīgumā par AF minētajām iestādēm saistībā ar projekta īstenošanu un projekta mērķu sasniegšanu, nodrošina datu un informācijas pieejamību, kā arī nodrošina datu ievadi un uzkrāšanu Vadības informācijas sistēmā par projektu un Eiropas Komisijas noteiktajiem Atveseļošanas fonda plāna šo noteikumu </w:t>
            </w:r>
            <w:r w:rsidR="00000000" w:rsidRPr="00000000" w:rsidDel="00000000">
              <w:rPr>
                <w:rtl w:val="0"/>
              </w:rPr>
              <w:t xml:space="preserve">5.</w:t>
            </w:r>
            <w:r w:rsidR="00000000" w:rsidRPr="00000000" w:rsidDel="00000000">
              <w:rPr>
                <w:rtl w:val="0"/>
              </w:rPr>
              <w:t xml:space="preserve"> punktā minētajiem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26.10.apakšpunktā un arī turpmāk noteikumu projekta tekstā pieturēties pie vienā Atveseļošanas fonda apzīmējuma, proti, pilna nosaukuma vai saīsinājuma.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Investīcijas ietvaros pievienotās vērtības nodokļa (turpmāk – PVN) izmaksas nav attiecināmas no AF finansējuma, bet šādas izmaksas ir iekļaujamas projektos un sedzamas no finansējuma saņēmēja līdzekļiem vai aizņēmuma Valsts kasē atbilstoši valsts budžeta likumā noteiktajiem nosacījumiem. Ja PVN izmaksas sedzamas no aizņēmuma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31.punktā vārdus "nav attiecināmas" ar vārdiem "netiek segtas".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atbilstoši kompetencei un ievērojot AF plāna īstenošanu regulējošos normatīvajos aktos noteiktos termiņus un kārtību divas reizes gadā aktualizē datus Vadības informācijas sistēmā AF plāna īstenošanas progresa pusgada ziņojuma un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37.2.apakšpunktā frāzi "Vadības informācijas sistēmā AF plāna īstenošanas progresa pusgada ziņojuma un maksājuma pieprasījuma sagatavošanai" ar frāzi "Vadības informācijas sistēmā AF plāna īstenošanas progresa pusgada ziņojuma (saskaņā ar Eiropas Parlamenta un Padomes 2021.gada 12.februāra regulas (ES) 2021/241, ar ko izveido Atveseļošanas un noturības mehānismu (turpmāk – regula Nr.2021/241) 27.pantu) un maksājuma pieprasījuma (saskaņā ar regulas Nr. 2021/241 22.pantu)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100 procentus no attiecīgās izmaksu pozīcijas kopējām attiecināmajām izmaksām </w:t>
            </w:r>
            <w:r w:rsidR="00000000" w:rsidRPr="00000000" w:rsidDel="00000000">
              <w:rPr>
                <w:rtl w:val="0"/>
              </w:rPr>
              <w:t xml:space="preserve">29.13.</w:t>
            </w:r>
            <w:r w:rsidR="00000000" w:rsidRPr="00000000" w:rsidDel="00000000">
              <w:rPr>
                <w:rtl w:val="0"/>
              </w:rPr>
              <w:t xml:space="preserve"> apakšpunktā minētajām darbībām, saistītām ar šo noteikumu </w:t>
            </w:r>
            <w:r w:rsidR="00000000" w:rsidRPr="00000000" w:rsidDel="00000000">
              <w:rPr>
                <w:rtl w:val="0"/>
              </w:rPr>
              <w:t xml:space="preserve">11.2.</w:t>
            </w:r>
            <w:r w:rsidR="00000000" w:rsidRPr="00000000" w:rsidDel="00000000">
              <w:rPr>
                <w:rtl w:val="0"/>
              </w:rPr>
              <w:t xml:space="preserve"> apakšpunktā norādītu projekta īstenošanu un kurām piemērojami </w:t>
            </w:r>
            <w:r w:rsidR="00000000" w:rsidRPr="00000000" w:rsidDel="00000000">
              <w:rPr>
                <w:rtl w:val="0"/>
              </w:rPr>
              <w:t xml:space="preserve">Regulas Nr. 1370/2007</w:t>
            </w:r>
            <w:r w:rsidR="00000000" w:rsidRPr="00000000" w:rsidDel="00000000">
              <w:rPr>
                <w:rtl w:val="0"/>
              </w:rPr>
              <w:t xml:space="preserv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40.2.apakšpunktu ar frāzi "šo noteikumu" pirms skaitļa un vārda "29.13.apakšpunktā".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w:t>
            </w:r>
            <w:r w:rsidR="00000000" w:rsidRPr="00000000" w:rsidDel="00000000">
              <w:rPr>
                <w:rtl w:val="0"/>
              </w:rPr>
              <w:t xml:space="preserve">29.11.</w:t>
            </w:r>
            <w:r w:rsidR="00000000" w:rsidRPr="00000000" w:rsidDel="00000000">
              <w:rPr>
                <w:rtl w:val="0"/>
              </w:rPr>
              <w:t xml:space="preserve"> apakšpunktā minētajām darbībām, atbilstoši </w:t>
            </w:r>
            <w:r w:rsidR="00000000" w:rsidRPr="00000000" w:rsidDel="00000000">
              <w:rPr>
                <w:rtl w:val="0"/>
              </w:rPr>
              <w:t xml:space="preserve">Regulas Nr. 651/2014</w:t>
            </w:r>
            <w:r w:rsidR="00000000" w:rsidRPr="00000000" w:rsidDel="00000000">
              <w:rPr>
                <w:rtl w:val="0"/>
              </w:rPr>
              <w:t xml:space="preserve"> 36a. panta nosacījumiem, izmaksu pozīcijai nepārsniedzot 40 procentus vienam uzņēmumam no investīcijas kopējām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40.3.apakšpunktu ar frāzi "šo noteikumu" pirms skaitļa un vārda "29.11.apakšpunktā".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40.4.1. atbalsts netiek sniegts 56. panta 2. un 7. punktā minētajai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turpmāk atsaucoties uz Komisijas regulas Nr. 651/2014 pantiem, ietvert arī Komisijas regulas Nr.651/2014 referenci.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40.4.3. atbalsta summu ieguldījumu atbalstam aprēķina atbilstoši 56. panta 6.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punktā minētais nedublē noteikumu projekta 40.4.apakšpunkta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darbības atbalsta izmaksas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anotācijā, kāpēc šeit tiek uzsvērts darbības izmaksu aizliegums piemērojot Komisijas regulas Nr.651/2014 56.pantu. Nepieciešamības gadījumā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minēto darbību īstenošana tiek veikta atbilstoši </w:t>
            </w:r>
            <w:r w:rsidR="00000000" w:rsidRPr="00000000" w:rsidDel="00000000">
              <w:rPr>
                <w:rtl w:val="0"/>
              </w:rPr>
              <w:t xml:space="preserve">Regulas Nr. 1370/2007</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sasaistīt ar 29.punktā minētajām attiecināmo izmaksu pozīcijām, ievērojot to pašu pieeju kā ir citos iepriekšējos šī noteikumu projekta punktos, kur darbības un izmaksas tiek sasaistītas ar piemērojamo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revidenta vai iekšējā auditora atzinumu, ar to apliecinot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56.1.apakšpunktu ar vārdu "neatkarīga" pirms vārda "revidenta".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iesniedzot Vadības informācijas sistēmā projekta informāciju par </w:t>
            </w:r>
            <w:r w:rsidR="00000000" w:rsidRPr="00000000" w:rsidDel="00000000">
              <w:rPr>
                <w:rtl w:val="0"/>
              </w:rPr>
              <w:t xml:space="preserve">11.3.</w:t>
            </w:r>
            <w:r w:rsidR="00000000" w:rsidRPr="00000000" w:rsidDel="00000000">
              <w:rPr>
                <w:rtl w:val="0"/>
              </w:rPr>
              <w:t xml:space="preserve"> apakšpunktā īstenoto projektu, pievieno finansējuma saņēmēja apliecinājumu, ka projekta ietvaros radītā infrastruktūra, kuru amortizācijas termiņš ir garāks par šo noteikumu </w:t>
            </w:r>
            <w:r w:rsidR="00000000" w:rsidRPr="00000000" w:rsidDel="00000000">
              <w:rPr>
                <w:rtl w:val="0"/>
              </w:rPr>
              <w:t xml:space="preserve">8.</w:t>
            </w:r>
            <w:r w:rsidR="00000000" w:rsidRPr="00000000" w:rsidDel="00000000">
              <w:rPr>
                <w:rtl w:val="0"/>
              </w:rPr>
              <w:t xml:space="preserve"> punktā minētā līguma darbības termiņu, īpašumtiesības nodod Rīgas valstspilsētas pašvaldībai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58.punktu ar frāzi "šo noteikumu" pirms skaitļa un vārda "11.3.apakšpunktā".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w:t>
            </w:r>
            <w:r w:rsidR="00000000" w:rsidRPr="00000000" w:rsidDel="00000000">
              <w:rPr>
                <w:u w:val="single"/>
                <w:rtl w:val="0"/>
              </w:rPr>
              <w:t xml:space="preserve">, tai skaitā atbalsta piešķiršanu un uzraudzības nodrošināšanu atbilstoši MK 2021. gada 7. septembra noteikumiem Nr.621 "Eiropas Savienības Atveseļošanas un noturības mehānisma plāna īstenošanas un uzraudzības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pasvītroto teikuma daļu dzēst, jo CFLA neveiks komercdarbības atbalsta piešķiršanas un uzraudzības nodrošināšanu, jo to neparedz MK 2021. gada 7. septembra noteikumi Nr.621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grozījumu nozīmi un pienesumu Latvijas kopējai izaugsmei un tautsaimniecības attīstībai, t.sk. pēc iespējas ilustrējot to ar izmērāmiem rezultātiem, ņemot vērā Finanšu ministrijas 2023.gada vēstulē Nr. 5.1-24/21/ 1076 “Par Eiropas Savienības fondu un Atveseļošanas fonda investīciju pienesumu tautsaimniecībai” ietverto aicinājumu. Vēršam uzmanību, ka 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 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minēto Regulu pieņemšanas datumus, kā arī pieturēties pie vienā Regulu apzīmējuma, proti, pilnais nosaukums vai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lūdzam papildus norādīt kā aprēķināta finansiālā ietekme uz pašvladību budžetiem (PVN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08.05.2023.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08.05.2023.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