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lai Fintech nozares attīstības stratēģijā tiktu ievērotas gan esošo finanšu nozares dalībnieku (kredītiestāžu, maksājumu pakalpojumu sniedzēju, apdrošinātāju u.c. tirgus spēlētāju), gan jaunuzņēmumu attīstības iespējas - ņemot vērā LFNA sniegto viedokli par iespējamiem virzieniem un scenārijiem.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lai Stratēģijā tiktu paredzēti ambiciozāki mērķi - rīcības virzienos būtu jāparedz,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Banka apņemtos nodrošināt pilnu procesa termiņu (end-to-end) viena mēneša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tiktu definēti atsevišķi mērķi starptautisku FinTech uzņēmumu piesaistīšanai un jaunu uzņēmumu radīšanai Latvijā (nosakot izmērāmus sasniedzamos rezultatīvos rādītājus un par tiem 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tiktu izveidots individuālā menedžera serviss pēc LIAA parauga.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lai Stratēģijā (piemēram, kādā no rīcības pasākumiem) tiktu iekļautas aktivitātes, kas būtu vērstas uz pienācīgu savstarpējās informācijas apmaiņu starp tirgus dalībniekiem, jo tikai kopīgas aktivitātes var būt efektīvas.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rosina, lai Stratēģija būtu pēc iespējas praktiski piemērojama un ar skaidri saprotamiem spēles noteikumiem gan esošajiem, gan potenciālajiem nozares spēlētājiem. LDDK ieskatā jebkuram potenciālajam FinTech tirgus dalībniekam, iepazīstoties ar Stratēģiju, būtu jāsaņem precīza informācija par šādiem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      •     kur un kā pieteikties uzņēmuma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      •     kāds ir paredzamais termiņš nepieciešamo dokumentu vai atļauju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      •     kur pārbaudīt pieejamās atbalsta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      •     kurš par ko ir atbildīgs.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stratēģijā 2025-2027 (turpmāk - Stratēģijā) vairākās vietās ir pieminēta un izcelta angļu valodas dominējošā loma Fintech nozarē, kurā pamatā notiek visa saziņa, dokumentācija, komunikācija ar investoriem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w:t>
            </w:r>
            <w:r w:rsidR="00000000" w:rsidRPr="00000000" w:rsidDel="00000000">
              <w:rPr>
                <w:b w:val="1"/>
                <w:u w:val="single"/>
                <w:rtl w:val="0"/>
              </w:rPr>
              <w:t xml:space="preserve">LDDK rosina</w:t>
            </w:r>
            <w:r w:rsidR="00000000" w:rsidRPr="00000000" w:rsidDel="00000000">
              <w:rPr>
                <w:u w:val="single"/>
                <w:rtl w:val="0"/>
              </w:rPr>
              <w:t xml:space="preserve">, lai Stratēģija tiktu pārtulkota un būtu pieejama arī angļu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Hermanis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22.08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22.08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