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kas fiziskajām un juridiskajām personām jāievēro, lai novērstu un sekmīgi dzēstu ugunsgrēkus, kā arī mazinātu to sekas, neatkarīgi no objekta īpašuma formas un atrašanās vietas, tai skaitā meža ugunsbīstamajā periodā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sagatavošanas noteikumi" 100. punkts nosaka, ka noteikumu projekta pirmajā punktā secīgi raksta vārdus “noteikumi nosaka” un likumā noteikto pilnvarojumu Ministru kabinetam. Attiecīgi, izdodot Ministru kabineta noteikumus atbilstoši projektā ietvertajam pilnvarojumam, Ministru kabineta noteikumu 1. punkts noteiks: "Noteikumi nosaka prasības, kas fiziskajām un juridiskajām personām jāievēro, lai novērstu un sekmīgi dzēstu ugunsgrēkus, kā arī mazinātu to sekas, neatkarīgi no objekta īpašuma formas un atrašanās vietas, tai skaitā meža ugunsbīstamajā periodā." Lai gan līdzīgs pilnvarojums ir noteikts spēkā esošajā Ugunsdrošības un ugunsdzēsības likumā, tā formulējums nav visai veiksmīgs un, izdodot jaunus Ministru kabineta noteikumus, var rasties nesaskaņas Ministru kabineta noteikumu projekta saskaņošanas procesā. Proti, jo Ministru kabineta noteikumu projekts paredz regulējumu ārpus pilnvarojuma.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 panta pirmās daļas 1. punkts nosaka, ka Ministru kabinets var izdot ārējus normatīvos aktus — noteikumus </w:t>
            </w:r>
            <w:r w:rsidR="00000000" w:rsidRPr="00000000" w:rsidDel="00000000">
              <w:rPr>
                <w:b w:val="1"/>
                <w:rtl w:val="0"/>
              </w:rPr>
              <w:t xml:space="preserve">gadījumā, ja likums Ministru kabinetu tam īpaši pilnvarojis. Pilnvarojumā norāda tā galvenos satura virzienus.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izvērtēt projektā paredzēto pilnvarojumu Ministru kabinetam, kā arī precizēt pilnvarojumu, norādot pilnvarojuma galvenos satura virzienus (vispārināt jau šobrīd Ministru kabineta 2016. gada 19. aprīļa noteikumos Nr. 238 "Ugunsdrošības noteikumi" regulējamos aspektus, kā arī paredzēt pilnvarojumu attiecībā uz ugunsdrošības prasību noteikšanu meža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Meža ugunsgrēka uzraudzību pēc meža ugunsgrēka likvidācijas veic par ugunsdrošību atbildīgā persona vai Valsts meža dienests, ja par ugunsdrošību atbildīgā persona nav pieejama vai atsakās veikt šo pienākumu. Ministru kabinets nosaka ugunsgrēka uzraudzības kārtību un kārtību kādā aprēķināmi un atlīdzināmi izdevumi un zaudējumi, kas radušies Valsts meža dienestam, veicot meža uzraudzību pēc ugunsgrēka likvidācijas, par ugunsdrošību atbildīgās personas vietā un piespiedu izpildes kārtību, ja meža īpašnieks vai tiesiskais valdītājs neveic meža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starpinstitūciju saskaņošanas sanāksmē panākto vienošanos, lūdzam projekta 21. panta piektās daļas otrajā teikumā izslēgt vārdus "un piespiedu izpildes kārtību". Vēršam uzmanību uz to, ka administratīvā akta piespiedu izpildi regulē Administratīvā procesa likums un Ministru kabineta noteikumos nevar noteikt no Administratīvā procesa likuma atšķirīgu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projekta 21. panta piektās daļas otrajā teikumā ietvertos vārdus "ugunsgrēka uzraudzības kārtība". No minētās normas izriet, ka ar to tiek risināti jautājumi par meža uzraudzību pēc ugunsgrēka likvidācijas. Ievērojot minēto, būtu nepieciešams noteikt meža uzraudzības kārtību pēc ugunsgrēka likvidācijas, nevis ugunsgrēka uzraudzības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uzlikt par pienākumu noteiktā termiņā meža objektā ierīkot un uzturēt meža ugunsdrošības infrastruktūras objektus atbilstoši normatīvo aktu prasībām, lai nodrošinātu meža ugunsdzēsību, kā arī atlīdzināt izdevumus un zaudējumus, kas Valsts meža dienestam radušies, veicot meža uzraudzību pēc ugunsgrēka likvidācijas par ugunsdrošību atbildīgās personas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22. panta otrās daļas 3. punktā teikuma daļu, kas sākas ar vārdiem "kā arī atlīdzināt izdevumus un zaudējumus". Vēršam uzmanību uz to, ka šāds pienākums par meža objektu atbildīgajai personai izriet no projekta 5. panta trešās daļas 8. punktā noteiktā. Savukārt projekta 21. panta piektās daļas otrajā teikumā Ministru kabinetam ir dots pilnvarojums noteikt kārtību, kādā atlīdzināmi izdevumi un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3. un 4.punktā noteikto uzdevumu izpildei pašvaldībām ir tiesības slēgt līgumu (vienošanos) par ugunsgrēku dzēšanu un ugunsdrošības prevenciju ar Valsts ugunsdzēsības un glābšanas dienestu, kurā norāda sniedzamā uzdevuma apjomu, mērķi un sniegšanas kārtību, kā arī finanšu līdzekļu piešķiršanas un izlietojuma kontroles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kādi līgumi (vienošanās) tiks slēgti projekta 26. panta otrajā un trešajā daļā paredzētajos gadījumos. Saskaņā ar Valsts pārvaldes iekārtas likuma 12. panta pirmajā daļā noteikto, lai nodrošinātu valsts pārvaldes funkciju efektīvu izpildi, piekritīgā iestāde likumā noteiktajā kārtībā slēdz šādus publisko tiesību līgumus valsts pārvaldes jomā: sadarbības līgums, administratīvais līgums, deleģēšanas līgums un līdzdarbības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Administratīvie pārkāpumi ugunsdrošības jomā un kompetence administratīvo pārkāpumu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projektā nav pietiekami precīzi noteiktas pārkāpuma pazīmes, un projekts nesatur arī prasību ugunsdrošības jomā pamatregulējumu.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pārkāpumi ir jānosaka formālajam likumdevējam (Saeimai). Nav pieļaujama situācija, ka administratīvā pārkāpuma saturu būtībā noteic izpildvara (Ministru kabinets). Neskatoties uz to, ka projekta 6. pantā, šķietami, ir ietverti pienākumi un prasības ugunsdrošības jomā, būtībā tas satur gandrīz tikai norādi uz "normatīvajos aktos noteiktām ugunsdrošības prasībām". Neskaitot atsevišķus pienākumus (evakuēties, ziņošanas pienākumus), projektā prasības ugunsdrošības jomā nav noteiktas. Arī ietvertais pilnvarojums Ministru kabinetam neļauj pietiekami konkrēti identificēt iespējamo prasību saturu. Tādējādi nevar uzskatīt, ka administratīvo atbildību (pārkāpumu saturu) šajā gadījumā būtu noteicis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apsvērumi attiecināmi arī uz projekta 7. panta otro daļu kopsakarā ar projekta 37. pantu. Likuma saturs nesatur nekādas vadlīnijas Ministru kabinetam, kā rezultātā "atbilstoša izglītība vai apmācība" būs pilnībā atkarīga no izpildvaras.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Aizliegts dedzināt kūlu.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minētais aizliegums sistēmiski labāk neiekļautos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Ugunsdzēsības un glābšanas transportlīdzekļa nodošana bezatlīdzības lietošanā vai atsavināšana un nodošana bez atlīdzības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30. panta nepieciešamību, ņemot vērā to, ka publiskas personas mantas atsavināšanas kārtību paredz Publiskas personas mantas atsavināšanas likums. Vēršam uzmanību uz to, ka projektā iekļaujams tikai tas regulējums, kas atšķiras no Publiskas personas mantas atsavināšanas likumā noteiktā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Starptautiskās palīdzības sniegšana un lūgšana valstīm, ar kurām Latvijas Republikai ir iekšējā robeža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32. pantā izmantot vienotu terminoloģiju, proti, lietot vārdu "lūgšana" vai vārdu "lūgums". Vienlaikus aicinām izslēgt minētā panta ceturto daļu, ņemot vērā to, ka šāda norma ir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ugunsdrošības pakalpojuma sniegšanu, ja persona nav ieguvusi  normatīvajos aktos noteikto izglītību vai apmācību, piemēro naudas sodu fiziskajai personai līdz piecdesmit sešām naudas soda vienībām, bet juridiskajai personai — no piecdesmit sešām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"normatīvajos aktos noteikto" ir lieki no juridiskās tehnikas aspekta, tipiskā gadījumā citviet šādas prasības nevar būt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ugunsdrošības pakalpojuma sniegšanu bez nepieciešamās izglītības vai apmācības [...] vai par ugunsdrošības pakalpojuma sniegšanu, ja persona nav ieguvusi nepieciešamo izglītību vai apmācību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"Paredzēts administratīvās atbildības normas no Meža likuma pārcelt uz speciālo likumu - Likumprojektu, kas regulē meža ugunsdrošību un ugunsdzēsību. Administratīvās atbildības kritēriji izvērtēti likumprojekta “Grozījumi Meža likumā” anotācijā (</w:t>
            </w:r>
            <w:r w:rsidR="00000000" w:rsidRPr="00000000" w:rsidDel="00000000">
              <w:rPr>
                <w:b w:val="1"/>
                <w:i w:val="1"/>
                <w:u w:val="single"/>
                <w:rtl w:val="0"/>
              </w:rPr>
              <w:t xml:space="preserve">https://tap.mk.gov.lv/mk/tap/?pid=40437060)</w:t>
            </w:r>
            <w:r w:rsidR="00000000" w:rsidRPr="00000000" w:rsidDel="00000000">
              <w:rPr>
                <w:i w:val="1"/>
                <w:rtl w:val="0"/>
              </w:rPr>
              <w:t xml:space="preserve">." </w:t>
            </w:r>
            <w:r w:rsidR="00000000" w:rsidRPr="00000000" w:rsidDel="00000000">
              <w:rPr>
                <w:rtl w:val="0"/>
              </w:rPr>
              <w:t xml:space="preserve">Lūdzam precizēt anotāciju, norādot atsauci uz atbilstošu projektu - anotācijā norādītā atsauce nav pareiza, atsaucē norādītais regulējums un anotācija neparedz grozījumus, kas būtu saistīti ar administratīvo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skaidrojumā par projekta 35. panta otro daļu norādīts :"</w:t>
            </w:r>
            <w:r w:rsidR="00000000" w:rsidRPr="00000000" w:rsidDel="00000000">
              <w:rPr>
                <w:i w:val="1"/>
                <w:rtl w:val="0"/>
              </w:rPr>
              <w:t xml:space="preserve">Par </w:t>
            </w:r>
            <w:r w:rsidR="00000000" w:rsidRPr="00000000" w:rsidDel="00000000">
              <w:rPr>
                <w:b w:val="1"/>
                <w:i w:val="1"/>
                <w:u w:val="single"/>
                <w:rtl w:val="0"/>
              </w:rPr>
              <w:t xml:space="preserve">35.panta trešajā daļā </w:t>
            </w:r>
            <w:r w:rsidR="00000000" w:rsidRPr="00000000" w:rsidDel="00000000">
              <w:rPr>
                <w:i w:val="1"/>
                <w:rtl w:val="0"/>
              </w:rPr>
              <w:t xml:space="preserve">minētājiem pārkāpumiem administratīvo procesu atbilstoši Administratīvā procesa likumam VUGD neveic, jo nav iespējams noteikt novēršanas termiņu par faktisko apstākli, kas notika pagātnē. Šajā gadījumā nepieciešams reaģēt uz personas izdarītu pārkāpumu, kurš vairs nav novēršams, tādēļ prioritāte ir administratīvā soda piemērošanai</w:t>
            </w:r>
            <w:r w:rsidR="00000000" w:rsidRPr="00000000" w:rsidDel="00000000">
              <w:rPr>
                <w:rtl w:val="0"/>
              </w:rPr>
              <w:t xml:space="preserve">." Lūdzam precizēt anotāciju, norādot atbilstošu projekta panta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02.08.2024.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02.08.2024.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