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225 "Noteikumi par ārzemniekam nepieciešamo finanšu līdzekļu apmēru un finanšu līdzekļu esības konstatēšanu"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2.2.3. uz uzņēmējdarbības vidi: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aizpildīt anotācijas 2.2.3.apakšpunktu, jo projektam ir ietekme uz uzņēmējdarbības vidi.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Tiesību akta projekta atbilstība Latvijas Republikas starptautiskajām saistībām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anotācijā aizpildīt informāciju, vai projektā paredzētais atbilst/skar Padomes 2009. gada 25. maija Direktīvu 2009/50/EK par trešo valstu valstspiederīgo ieceļošanu un uzturēšanos augsti kvalificētas nodarbinātības nolūkos un Eiropas Parlamenta un Padomes 2016. gada 11. maija Direktīvu 2016/801/ES par nosacījumiem attiecībā uz trešo valstu valstspiederīgo ieceļošanu un uzturēšanos pētniecības, studiju, stažēšanās, brīvprātīga darba, skolēnu apmaiņas programmu vai izglītības projektu un viesaukles darba nolūkā.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7.sadaļu, jo projektam ir ietekme uz institūcijām, kas konstatēs finanšu līdzekļu esību (Latvijas Republikas diplomātiskās un konsulārās pārstāvniecības, Valsts robežsardzi vai Pilsonības un migrācijas lietu pārvaldi).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28.08.2023.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28.08.2023.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