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Krimināllikuma spēkā stāšanās un piemērošanas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par </w:t>
            </w:r>
            <w:r w:rsidR="00000000" w:rsidRPr="00000000" w:rsidDel="00000000">
              <w:rPr>
                <w:b w:val="1"/>
                <w:rtl w:val="0"/>
              </w:rPr>
              <w:t xml:space="preserve">tiletamīnu un zolazepāmu</w:t>
            </w:r>
            <w:r w:rsidR="00000000" w:rsidRPr="00000000" w:rsidDel="00000000">
              <w:rPr>
                <w:rtl w:val="0"/>
              </w:rPr>
              <w:t xml:space="preserve"> svītrot pēdējos trīs teikumus un aizstāt ar teikumu šādā redakcijā: "Saskaņā ar Pārtikas un veterinārā dienesta sniegto informāciju Eiropas Savienības dalībvalstīs veterinārās zāles Zoletil netiek pakļautas kontrolei, izņemot Francijā Zoletil tiek pakļautas kontrolei kā kontrolējamo narkotisko un psihotropo vielu sarakstos iekļautās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Ketija Broka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par</w:t>
            </w:r>
            <w:r w:rsidR="00000000" w:rsidRPr="00000000" w:rsidDel="00000000">
              <w:rPr>
                <w:b w:val="1"/>
                <w:rtl w:val="0"/>
              </w:rPr>
              <w:t xml:space="preserve"> butorfanolu </w:t>
            </w:r>
            <w:r w:rsidR="00000000" w:rsidRPr="00000000" w:rsidDel="00000000">
              <w:rPr>
                <w:rtl w:val="0"/>
              </w:rPr>
              <w:t xml:space="preserve">svītrot šo rindkopas daļu: “Cilvēkos viela butorfanols var izraisīt miegainību, sliktu dūšu un reiboņus. Pārdozēšanas gadījumā cilvēkiem galvenā pazīme ir elpošanas nomākums. Kā antidotu var lietot opioīdu antagonistu (piemēram, naloksonu), lai samazinātu dzīvībai bīstamu centrālās nervu sistēmas un elpošanas nomākumu. Lietojot vielu butorfanolu ilgtermiņā, var iestāties atkarība. Viela butorfanols ietekmē centrālo nervu sistēmu tāpat kā citi opioīdu pretsāpju līdzekļi. Ņemot vērā opioīdiem līdzīgo iedarbību, vielas butorfanola lietotāji ir bieži pakļauti atkarības, ļaunprātīgas izmantošanas un nepareizas lietošanas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skaidrojumā ir norādīts, ka nav pieejami statistikas dati attiecībā uz aktīvās vielas - butorfanols reģistrētu nelegālo apriti un ļaunprātīgu lietošanu apreibinošos nolūkos, kā arī nav informācijas, ka veterinārās zāles ir nonākušas nelegālā apritē un notikusi to ļaunprātīga lietošana, kā arī Eiropas Narkotiku un narkomānijas uzraudzības centra (EMCDDA) sistēmā par jaunajām psihoaktīvajām vielām (European Database on New Drugs -EDND) nav atrodama informācija par butorfanola izraisītiem nāves gadījumiem, kā arī EMCDDA neveic šīs vielas uzraudzību, uzskatām, ka nav konkrētu gadījumu, kas pierādītu rakstītā apgalvojuma patiesumu, kā arī apgalvojums ir pretrunā ar iepriekš aprakstīto butorfanola farmakoloģisko raksturojumu.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Ketija Broka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par </w:t>
            </w:r>
            <w:r w:rsidR="00000000" w:rsidRPr="00000000" w:rsidDel="00000000">
              <w:rPr>
                <w:b w:val="1"/>
                <w:rtl w:val="0"/>
              </w:rPr>
              <w:t xml:space="preserve">Masitiniba mezilātu </w:t>
            </w:r>
            <w:r w:rsidR="00000000" w:rsidRPr="00000000" w:rsidDel="00000000">
              <w:rPr>
                <w:rtl w:val="0"/>
              </w:rPr>
              <w:t xml:space="preserve">otrajā teikumā aiz vārda "ārsts" papildināt ar vārdiem "vai praktizējošs veterinārārsts".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Vielu mastiniba mezilātu saturoši medikamenti Latvijā nemainīgi paliek recepšu medikamenti, tos var izrakstīt tikai ārsts vai veterinārārsts.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Ketija Broka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23-TA-1650</w:t>
    </w:r>
    <w:r>
      <w:br/>
    </w:r>
    <w:r w:rsidR="00000000" w:rsidRPr="00000000" w:rsidDel="00000000">
      <w:rPr>
        <w:rtl w:val="0"/>
      </w:rPr>
      <w:t xml:space="preserve">Izdrukāts 18.12.2023.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23-TA-1650</w:t>
    </w:r>
    <w:r>
      <w:br/>
    </w:r>
    <w:r w:rsidR="00000000" w:rsidRPr="00000000" w:rsidDel="00000000">
      <w:rPr>
        <w:rtl w:val="0"/>
      </w:rPr>
      <w:t xml:space="preserve">Izdrukāts 18.12.2023.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Atzinumi_23-TA-1650.docx</dc:title>
</cp:coreProperties>
</file>

<file path=docProps/custom.xml><?xml version="1.0" encoding="utf-8"?>
<Properties xmlns="http://schemas.openxmlformats.org/officeDocument/2006/custom-properties" xmlns:vt="http://schemas.openxmlformats.org/officeDocument/2006/docPropsVTypes"/>
</file>