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iepriekšējā MK noteikumu projekta virzīto redakciju, kas paredz projekta īstenošanas nodrošināšanai nepieciešamā Avansa maksājuma saņemšanas kārtību, attiecīgi precizējot virzīto MK noteikumu projekta redakciju, iekļaujot papildu punktu un apakšpunktus šādā redakcijā (attiecīgi precizējot Projekta pārējo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ietvaros var saņemt avansa maksājumu saskaņā ar normatīvajos aktos par valsts budžeta līdzekļu plānošanas kārtību Eiropas Savienības fondu projektu īstenošanai un maksājumu veikšanai 2021. -2027. gada plānošanas periodā, ievērojot šādus nosacījumus:. .avansa maksājums nepārsniedz 30 % no projektam piešķirtā publiskā finansējuma;....avansa maksājums ir pieejams, ja finansējuma saņēmējs ir atvēris kontu Valsts kasē vai darījumu kontu Latvijā reģistrētā kredītiestādē, vai kontu Latvijā reģistrētā kredītiestādē un iesniedzis bankas garantiju par avansa summu;.... lai saņemtu avansa maksājumu, finansējuma saņēmējs iesniedz Vadības informācijas sistēmā avansa pieprasījumu un plānotā avansa apjoma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1.7.punktā piedāvāto redakciju, kur papīra ražošana un poligrāfija  tiek traktēta kā vieglajai rūpniecībai piederoša nozare. NACE 2 klasifikatorā vieglā rūpniecība ir 13. sadaļā un iekļauj tekstilizstrādājumu un apģērbu ražošanu, bet papīra ražošana un poligrāfija ir - 17. un 18. sadaļā. Tās nav apakšnozares un tāpēc nav apvienojamas.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anotācijas 5.punkta “Mācību nodrošināšana” redakciju, skaidri nodalot formālo, neformālo un mācību veidus, kas nav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21.03.2024. 02.39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21.03.2024. 02.39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