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Sistēmā uzkrāto informāciju dzēš pēc pieciem gadiem no informācijas iekļaušanas brīža, pie nosacījuma, ka informācija nav papildināta vai saistīta ar jaunām informācijas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saistīta ar noziedzīgiem nodarījumiem glabā atbilstoši noziedzīgā nodarījuma noilguma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projekta 27. punkts paredz datu glabāšanas termiņu 5 gadus pie nosacījuma, ka informācija nav papildināta vai saistīta ar jaunām informācijas vienībām. Vienlaikus nav skaidrs, kāds tiks noteikts glabāšanas termiņš gadījumā, ja nosacījums neizpildīsies un informācija būs papildināta vai saistīta ar jaunām informācijas sistēmām. Ņemot vērā Datu regulas 5. panta 1. punkta e) apakšpunktā noteikto datu glabāšanas ierobežojuma principu, lūdzam precizēt noteikumu projekta 27. punktu, skaidri nosakot nosacījumus glabāšanas termiņa maiņai. Cik noprotams no anotācijas, ja tiek pievienota papildus informācija, vai jaunās informācijas vienības termiņu skaitīs no jaunā un piesaistīs pievienotās informācijas glabāšanas termiņam. Tādējādi ir iespējams papildināt noteikumu projektu ar glabāšanas termiņa izpildes nosacījumu.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uzkrāto informāciju dzēš pēc pieciem gadiem no informācijas iekļaušanas brīža. Ja informāciju papildina vai sasaista ar jaunām informācijas vienībām, glabāšanas termiņu skaita no jauno informācijas vienību pievienošanas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saistīta ar noziedzīgiem nodarījumiem glabā atbilstoši noziedzīgā nodarījuma noilguma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09.08.2023.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09.08.2023.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Atzinumi_23-TA-749.docx</dc:title>
</cp:coreProperties>
</file>

<file path=docProps/custom.xml><?xml version="1.0" encoding="utf-8"?>
<Properties xmlns="http://schemas.openxmlformats.org/officeDocument/2006/custom-properties" xmlns:vt="http://schemas.openxmlformats.org/officeDocument/2006/docPropsVTypes"/>
</file>