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Kara upuru apbedījumu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 ir koleģiāla institūcija, kuras darbību nodrošina Aizsardzības ministrija. Komisijas sastāvu apstiprina aizsardzības ministrs. Komisijas darbu vada aizsardzības ministra izvirzīts priekšsēdētājs. Komisijas priekšsēdētāju tā prombūtnes laikā aizvieto komisijas priekšsēdētāja vietnieks vai cits komisijas priekšsēdētāja noteikts komisijas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3.panta otrajā daļā ietverto Kara upuru apbedījumu saglabāšanas komisijas definīciju, norādot, ka komisija ir konsultatīva institūcija un tās lēmumiem ir ieteikuma raksturs.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Alma Kaurāte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Kultūras ministrijas;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Kultūras ministriju no likumprojekta 3.panta trešajā daļā noteiktās Kara upuru apbedījumu saglabāšanas komisijas sastāva, jo likumprojekta 3.panta sestajā daļā noteiktie minētās komisijas uzdevumi neatbilst Ministru kabineta 2003.gada 29.aprīļa noteikumos Nr.241 “Kultūras ministrijas nolikums” noteiktajām Kultūras ministrijas funkcijām un uzdevumiem. Savukārt, ja Aizsardzības ministrijai ir apsvērumi, kādēļ Kara upuru apbedījumu saglabāšanas komisijas sastāvā būtu iekļaujams Kultūras ministrijas pārstāvis – lūdzam to skaidrot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Alma Kaurāte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Komisijai ir šādi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3.panta sestā daļa nosaka Kara upuru apbedījumu saglabāšanas komisijas uzdevumus. Savukārt atbilstoši likumprojekta 3.panta septītajai daļai 3.panta sestās daļas 1., 2., 3., 4.punktā minētos valsts pārvaldes uzdevumus Aizsardzība ministrija deleģē biedrībai “Brāļu kapu komiteja”, kas pildot noteiktos uzdevumus ir pakļauta Aizsardzības ministrijai. Ņemot vērā minēto, Kara upuru apbedījumu saglabāšanas komisijas uzdevumos nebūtu iekļaujami likumprojekta 3.panta sestās daļas 1., 2., 3., 4.punktā minētie valsts pārvaldes uzdevumi, kurus Aizsardzības ministrija deleģēs biedrībai “Brāļu kapu komiteja”, veicot uzraudzību pār šo valsts pārvaldes uzdevumu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Alma Kaurāte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Komisijas pieņemtos lēmumus var apstrīdēt Administratīvā procesa likuma noteiktā kārtībā, iesniedzot iesniegumu Aizsardzības ministrijā. Aizsardzības ministrijas lēmumus var pārsūdzēt tiesā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3.panta astotās daļas pirmo teikumu, norādot, ka Kara upuru apbedījumu saglabāšanas komisijas lēmumus administratīvo aktu formā noformē Aizsardzības ministrija, ņemot vērā to, ka saskaņā ar Administratīvā procesa likuma 22.pantu Kara upuru apbedījumu saglabāšanas komisija nevar izdot administratīvos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Alma Kaurāte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starptautiskos līgumos nav noteikts citādi, visus izdevumus, kas saistīti ar kara upuru pārapbedīšanu, kā arī ar apbedījuma vietu saistīto padomju un fašistiskā režīma slavinošo objektus demontāžu sedz persona, kura to ir ierosinājusi.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vienādot terminoloģiju panta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starptautiskos līgumos nav noteikts citādi, visus izdevumus, kas saistīti ar kara upuru pārapbedīšanu, kā arī ar apbedījuma vietu saistīto padomju un nacistiskā režīma slavinošo objektus demontāžu sedz persona, kura to ir ierosinājusi.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Alma Kaurāte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ir papildināts ar 6.panta trešo daļu - veidojot nošķīrumu gadījumos, kad kara upuru apbedījuma vieta ir iekļauta valsts aizsargājamo kultūras pieminekļu sarakstā, lūdzam papildināt anotācijas 1.3.daļu ar informāciju par Nacionālās kultūras mantojuma pārvaldes darbības ietvaru likumprojekta 3.pantā definētās komisijas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Alma Kaurāte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ir papildināts ar 6.panta trešo daļu - veidojot nošķīrumu gadījumos, kad kara upuru apbedījuma vieta ir iekļauta valsts aizsargājamo kultūras pieminekļu sarakstā, lūdzam papildināt anotācijas 1.3.daļu ar informāciju par Nacionālās kultūras mantojuma pārvaldes darbības ietvaru likumprojekta 3.pantā definētās komisijas darbībā.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Vivita Vīksna-Bārbale (NKMP)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Risinājuma apraksta 4 daļas 3. rindkopā 1. teikumu "Kara upuru apbedījumu vietas izpētei neizsniegs personai arī tad (..)" papildināt ar atļauju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upuru apbedījumu vietas izpētei atļauju neizsniegs personai arī tad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Alma Kaurāte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13.02.2024. 20.31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13.02.2024. 20.31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Atzinumi_23-TA-1989.docx</dc:title>
</cp:coreProperties>
</file>

<file path=docProps/custom.xml><?xml version="1.0" encoding="utf-8"?>
<Properties xmlns="http://schemas.openxmlformats.org/officeDocument/2006/custom-properties" xmlns:vt="http://schemas.openxmlformats.org/officeDocument/2006/docPropsVTypes"/>
</file>