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decembra līdz 2026. gada 30. jūnijam.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kases projekts Nr. 2.1.2.1.i.0/1/23/I/VARAM/009 "Valsts pārvaldes vienota valsts finanšu resursu plānošana un pārvaldības grāmatvedības pakalpojumu nodrošinājums, vienotās resursu vadības ieviešana" ir plānots tāds projekts, kura ietvaros netiek piešķirts komercdarbības atbalsts saskaņā ar 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 13.9.3. apakšpunktā noteikto, nevis tāpēc, ka komercdarbības atbalsta regulējums aizliedz veikt izstrādnes komercproduktos, kuru autortiesības nepieder valstij (t.i., ja tiktu veiktas izstrādnes komercproduktos, kuru autortiesības nepieder valstij, komercdarbības atbalsta nosacījumi būtu jāievēro, nevis tie kaut ko aizliedz), lūdzam attiecīgi precizēt ziņojuma pielikumā 3.1. ailes kolonnā “Izpilde uz 30.06.2026.”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sadaļas "Cilvēkresursu vienotās pārvaldības sistēmas ieviešanas progress" 1.1. apakšsadaļā "Sasniegtie rezultatīvie rādītāji un ieguvumi" (5.lp. 3. rindkopā) norādīta informācija, ka centralizētā cilvēkresursu pārvaldības sistēma līdz 2026. gada 30. jūnijam tika izmantota 23 valsts tiešās pārvaldes iestādēs un aptvēra 8 255 nodarbinātos.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formulējums rada priekšstatu par ieviestu un praksē izmantotu cilvēkresursu pārvaldības sistēmu, lai gan šobrīd personāla vadības jomā ir pieejamas tikai divu procesu funkcionalitātes – personāla atlase un darbinieku ievadīšana darbā (onboarding), bet pārējie cilvēkresursu pārvaldības procesi sistēmā vēl nav ieviesti. Vienlaikus arī minētās funkcionalitātes nenodrošina to pilnvērtīgu izmantošanu praksē, jo tajās joprojām pastāv būtiskas funkcionālās nepilnības, par kurām iestāde vairākkārt sniegusi priekšlikumus, taču tie līdz šim nav īstenoti. Rezultātā sistēma nenodrošina minēto personāla vadības procesu izpildi atbilstoši to faktiskajai norisei un mērķim, tādējādi to VID nevar izmantot (lai gan vienošanās ir noslēgta).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pieejamais atlases modulis nav pilnvērtīgi izmantojams praksē, jo nav nodrošināta būtiskāko savstarpēji saistīto sistēmas funkcionalitāšu izstrāde - nav izstrādāts sistēmas funkcionalitātes pamatkodols (CORE), no kura ir atkarīga pārējo sistēmas moduļu darbība, proti, nav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korekta administratīvo struktūrvienību atspoguļošana, tajā skaitā pilns struktūrvienības nosaukums (trīs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nosaukumu atspoguļošana,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amata katalogu atspoguļošana, tajā skaitā saime, līmenis, mēnešalgu grupa, profesijas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nav atrisinātas problēmas ar atlases konkursu komisijas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nodrošināta jauno darbinieku datu migrācija uz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onboarding procesā aktivitātes iespējams plānot tikai viena mēneša periodam, lai gan pārbaudes laiks parasti ir trīs mēneši. Šāda pieeja neatbilst onboarding procesa būtībai, jo jaunam darbiniekam nepieciešams laiks ne vien informācijas iegūšanai, bet arī tās praktiskai piemērošanai darbā, nepieciešamo zināšanu un prasmju nostiprināšanai. Tādēļ onboarding aktivitātes ir plānojamas un izpildāmas visā pārbaudes laika laikā. Tāpat funkcionalitātē nav ņemta vērā Darba likuma prasība, ka pārbaudes laikā netiek ieskaitīti darbinieka prombūtnes periodi, līdz ar to sistēma nenodrošina korektu aktivitāšu plānošanu un izpildes uzraudzību visā faktiskajā pārbaudes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Informatīvajā ziņojumā 1. sadaļas "Cilvēkresursu vienotās pārvaldības sistēmas ieviešanas progress" 1.1. apakšsadaļā "Sasniegtie rezultatīvie rādītāji un ieguvumi" ietverto informāciju, jo tajā norādītais sistēmas izmantošanas apjoms un aptverto nodarbināto skaits neatspoguļo sistēmas faktisko funkcionalitātes gatavību un izmantošanas iespējas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Silāre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sadaļas "Valsts kases projektu ieviešanas progress" 3.2. apakšsadaļas "Investīcijas 2.1.2.1.i. Valsts kases projekta izpilde un sasniegtie rezultāti"  (16. lp. 4.rindkopā) daļā "Amata vietu uzraudzība" ietverts apgalvojums, ka “Attiecīgi iestādēs tiek pārskatīti grāmatvedības amatu līmeņi, tos pārklasificējot, ņemot vērā amatā veicamos pienākumus (kuri pamatā kļūst tikai tehniskāki)”.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Centrālās resursu vadības sistēmas lietošanas metodiskajiem norādījumiem (projektējumam), iestādes kompetencē ir visu lēmumu pieņemšana un korektu grāmatvedības attaisnojuma dokumentu iesniegšana un korekta datu ievade Horizon un VPC HOP (piemēram, preču nomenklatūru ievade, papildus darba laika uzskaites tabeles komandējumiem un virsstundām ievade, komandējumu izdevumu ievade), jāveic kontrole par Valsts kases grāmatvežu Horizon sagatavoto un ievadīto informāciju (piemēram, pārbaudot saimniecisko līgumu izpildi, secināts, ka nekorekti tiek grāmatoti kredītrēķini, kā arī nekorekti aprēķinātas komandējumu izdevumu kompensācijas).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iebilstam pret apgalvojumu, ka iestādē veicamie darbi kļūst tikai tehniskāki, jo faktiski ir tieši pretēji Valsts kases darbi kļūst tehniskāki un lūdzam attiecīgi labot Informatīvā ziņojuma 3. sadaļas "Valsts kases projektu ieviešanas progress" 3.2. apakšsadaļas "Investīcijas 2.1.2.1.i. Valsts kases projekta izpilde un sasniegtie rezultāti"  16. lp. 4.rindkopu.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Silāre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sadaļas "Cilvēkresursu vienotās pārvaldības sistēmas ieviešanas progress" 1.1. apakšsadaļā "Sasniegtie rezultatīvie rādītāji un ieguvumi" (5.lp. 3. rindkopā) norādīta informācija, ka centralizētā cilvēkresursu pārvaldības sistēma līdz 2026. gada 30. jūnijam tika izmantota 23 valsts tiešās pārvaldes iestādēs un aptvēra 8 255 nodarbinātos.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precizējams vai skaidrojams lietotāju skaits( CVPS lietotāju skaits sasniedzis 8 255 valsts tiešajā pārvaldē nodarbinātos), jo, piemēram, FM ir uzsākta CVPS ieviešana (migrēta daļa personāla datu no Horizon), bet, ņemot vērā sistēmas un tās ieviešanas nepilnības (pieejamas tikai divas funkcionalitātes), kā arī būtiskas nepilnības pašā sistēmā (kļūdas par kurām ziņots, bet kuras vairāku mēnešu laikā netiek novērstas),  par funkcionalitāti, FM sistēmu nelieto visi ministrijā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nevaram atbalstīt ziņojumā iekļauto, ka 23 valsts tiešās iestādes CVPS ir ieviesta un tiek izmantota, jo kā jau iepriekš minējām tai ir tikai divas funkcionalitātes, pašreizējā situācija CVPS ir smagnēja, iekļauto procesu administrēšana (piemēram, atlase), rada papildu administratīvo slogu, sistēmā pastāv būtiskas funkcionālās nepilnības, kas to neļauj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CVPS nenodrošina personāla procesu vadību  atbilstoši noteiktajam mērķim, veidot modernu, efektīvu un datos balstītu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Krišāne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finansējumu 641 880 </w:t>
            </w:r>
            <w:r w:rsidR="00000000" w:rsidRPr="00000000" w:rsidDel="00000000">
              <w:rPr>
                <w:i w:val="1"/>
                <w:rtl w:val="0"/>
              </w:rPr>
              <w:t xml:space="preserve">euro</w:t>
            </w:r>
            <w:r w:rsidR="00000000" w:rsidRPr="00000000" w:rsidDel="00000000">
              <w:rPr>
                <w:rtl w:val="0"/>
              </w:rPr>
              <w:t xml:space="preserve"> apmērā, tai skaitā 2027. gadā 162 720 </w:t>
            </w:r>
            <w:r w:rsidR="00000000" w:rsidRPr="00000000" w:rsidDel="00000000">
              <w:rPr>
                <w:i w:val="1"/>
                <w:rtl w:val="0"/>
              </w:rPr>
              <w:t xml:space="preserve">euro</w:t>
            </w:r>
            <w:r w:rsidR="00000000" w:rsidRPr="00000000" w:rsidDel="00000000">
              <w:rPr>
                <w:rtl w:val="0"/>
              </w:rPr>
              <w:t xml:space="preserve"> un 2028. gadā 479 160 </w:t>
            </w:r>
            <w:r w:rsidR="00000000" w:rsidRPr="00000000" w:rsidDel="00000000">
              <w:rPr>
                <w:i w:val="1"/>
                <w:rtl w:val="0"/>
              </w:rPr>
              <w:t xml:space="preserve">euro</w:t>
            </w:r>
            <w:r w:rsidR="00000000" w:rsidRPr="00000000" w:rsidDel="00000000">
              <w:rPr>
                <w:rtl w:val="0"/>
              </w:rPr>
              <w:t xml:space="preserve">,  lai nodrošinātu Valsts sociālās apdrošināšanas aģentūras grāmatvedības uzskaites, grāmatvedības un personāla lietvedības procesu transformāciju un ar to saistīto informācijas sistēmu biznesa loģikas pārveidi atbilstoši Valsts kases Vienotā pakalpojumu centra darbības modelim, Labklājības ministrijai risināt likumprojekta "Par valsts budžetu 2027. gadam un budžeta ietvaru 2027., 2028., 2029. un 2030. 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š.g. 30. jūnijā aktualizētai informācijai par makroekonomisko un fiskālo rādītāju prognozēm indikatīvā fiskālā telpa 2027. – 2030. gadā ir negatīva un papildu finansējuma piešķiršana nebūs iespējama, uzskatām, ka Labklājības ministrijai likumprojekta "Par valsts budžetu 2027. gadam un budžeta ietvaru 2027., 2028., 2029. un 2030. gadam" sagatavošanas procesā jāpiedāvā risinājums Valsts sociālās apdrošināšanas aģentūrai nepieciešamā finansējuma nodrošināšanai, neradot negatīvu ietekmi uz valsts budžetu un vispārējās valdības budžeta bilanci. Lūdzam attiecīgi precizēt Ministru kabineta sēdes protokollēmuma projekta 3. punkta redakciju un informatīvā ziņojuma 3.3. sadaļā “Turpmākā resoru centralizācija VPC”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administrācijas skolas projekts Nr. 2.1.2.1.i.0/1/23/I/VARAM/008 "Mācīšanās un attīstības sistēmas ieviešana" ir plānots tāds projekts, kura ietvaros netiek piešķirts komercdarbības atbalsts saskaņā ar Ministru kabineta 2023. gada 27. jūnija rīkojuma Nr. 406 "Par 2.1.2.1.i. investīcijas projekta "Mācīšanās un attīstības sistēmas ieviešana" pases un koplietošanas pakalpojuma attīstības plāna apstiprināšanu" pielikumā projekta pasē skaidroto, turklāt ņemot vērā projekta pasē minēto, ka “</w:t>
            </w:r>
            <w:r w:rsidR="00000000" w:rsidRPr="00000000" w:rsidDel="00000000">
              <w:rPr>
                <w:i w:val="1"/>
                <w:rtl w:val="0"/>
              </w:rPr>
              <w:t xml:space="preserve">[..] ja IKT risinājumu izmantos papildinošai saimnieciskajai darbībai, Valsts administrācijas skola nodrošinās, ka tiks ievēroti minētie papildinošās saimnieciskās darbības nosacījumi. Lai varētu gūt patiesu un skaidru priekšstatu par papildinošās saimnieciskās darbības nosacījumu ievērošanu, Valsts administrācijas skola, ja nepieciešams, izstrādās iekšējās kārtības noteikumus (metodiku).”</w:t>
            </w:r>
            <w:r w:rsidR="00000000" w:rsidRPr="00000000" w:rsidDel="00000000">
              <w:rPr>
                <w:rtl w:val="0"/>
              </w:rPr>
              <w:t xml:space="preserve">, lūdzam precizēt ziņojuma 2.2. punktā minēto informāciju, ka Valsts administrācijas skola izstrādās nevis komercdarbības atbalsta regulējuma piemērošanas metodiku, bet, ja nepieciešams, izstrādās iekšējās kārtības noteikumus (metodiku), kā nodrošināt papildinošās saimnieciskās darbības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savstarpēji saskaņot ziņojuma projektā norādītos termiņus attiecībā uz grāmatvedības speciālistu pāreju uz Valsts kasi. Vienā ziņojuma vietā norādīts, ka pāreja notiks </w:t>
            </w:r>
            <w:r w:rsidR="00000000" w:rsidRPr="00000000" w:rsidDel="00000000">
              <w:rPr>
                <w:b w:val="1"/>
                <w:rtl w:val="0"/>
              </w:rPr>
              <w:t xml:space="preserve">no 2029. gada 1. janvāra</w:t>
            </w:r>
            <w:r w:rsidR="00000000" w:rsidRPr="00000000" w:rsidDel="00000000">
              <w:rPr>
                <w:rtl w:val="0"/>
              </w:rPr>
              <w:t xml:space="preserve">, savukārt citviet – </w:t>
            </w:r>
            <w:r w:rsidR="00000000" w:rsidRPr="00000000" w:rsidDel="00000000">
              <w:rPr>
                <w:b w:val="1"/>
                <w:rtl w:val="0"/>
              </w:rPr>
              <w:t xml:space="preserve">no 2029. gada 1. oktobra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protokollēmuma projekta 2. punktā noteikts, ka VSAA Vienotā pakalpojumu centra (turpmāk - VPC) </w:t>
            </w:r>
            <w:r w:rsidR="00000000" w:rsidRPr="00000000" w:rsidDel="00000000">
              <w:rPr>
                <w:u w:val="single"/>
                <w:rtl w:val="0"/>
              </w:rPr>
              <w:t xml:space="preserve">grāmatvedības un personāllietvedības risinājuma lietošanu uzsāk no 2028. gada 1. oktobra</w:t>
            </w:r>
            <w:r w:rsidR="00000000" w:rsidRPr="00000000" w:rsidDel="00000000">
              <w:rPr>
                <w:rtl w:val="0"/>
              </w:rPr>
              <w:t xml:space="preserve">, savukārt </w:t>
            </w:r>
            <w:r w:rsidR="00000000" w:rsidRPr="00000000" w:rsidDel="00000000">
              <w:rPr>
                <w:b w:val="1"/>
                <w:rtl w:val="0"/>
              </w:rPr>
              <w:t xml:space="preserve">grāmatvedības speciālistu pāreja uz VPC paredzēta no 2029. gada 1. janvāra</w:t>
            </w:r>
            <w:r w:rsidR="00000000" w:rsidRPr="00000000" w:rsidDel="00000000">
              <w:rPr>
                <w:rtl w:val="0"/>
              </w:rPr>
              <w:t xml:space="preserve">. Lūdzam atbilstoši precizēt ziņojuma projektu, lai tajā norādītā informācija būtu savstarpēji saskaņota un atbilstu MK protokollēmuma projektā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finansējuma aprēķinus, jo ziņojuma projektā konstatēta neatbilstība starp norādītajām papildu finansējuma summām. VSAA sadaļā norādīts, ka, ņemot vērā kopējās izmaksas 798 600 euro un VSAA finansējumu 156 720 euro, papildus nepieciešamais finansējums ir 641 </w:t>
            </w:r>
            <w:r w:rsidR="00000000" w:rsidRPr="00000000" w:rsidDel="00000000">
              <w:rPr>
                <w:b w:val="1"/>
                <w:rtl w:val="0"/>
              </w:rPr>
              <w:t xml:space="preserve">880</w:t>
            </w:r>
            <w:r w:rsidR="00000000" w:rsidRPr="00000000" w:rsidDel="00000000">
              <w:rPr>
                <w:rtl w:val="0"/>
              </w:rPr>
              <w:t xml:space="preserve"> euro. Savukārt zemsvītras atsaucē minēta cita summa - 641 </w:t>
            </w:r>
            <w:r w:rsidR="00000000" w:rsidRPr="00000000" w:rsidDel="00000000">
              <w:rPr>
                <w:b w:val="1"/>
                <w:rtl w:val="0"/>
              </w:rPr>
              <w:t xml:space="preserve">800</w:t>
            </w:r>
            <w:r w:rsidR="00000000" w:rsidRPr="00000000" w:rsidDel="00000000">
              <w:rPr>
                <w:rtl w:val="0"/>
              </w:rPr>
              <w:t xml:space="preserve"> euro. Lūdzam precizēt un nodrošināt vienotu finanšu informāciju visā ziņojuma projektā, lai nerastos šaubas par aprēķinu pareizību.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3.2.sadaļā 16.lpp. 2.rindkopā precizēt projekta Atveseļošanas fonda finansējumu no 10 milj. euro uz 10.9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nodrošināta efektīva finanšu un līgumu pārvaldība. Sekmīgi īstenoti iepirkumi, pārvaldīti vairāk kā 30 līgumi, nodrošināta pastiprināta cilvēkstundu līgumu uzraudzība un veikta projekta budžeta optimizācija, samazinot kopējo projekta finansējumu no sākotnēji plānotajiem 13,44 milj. euro līdz 10,9 milj. euro, vienlaikus saglabājot projekta mērķu un rezultatīvo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(14. lpp) norādīts, ka Grāmatvedības un personāla lietvedības risinājuma ietvaros ir izveidota vienota centralizēta platforma valsts pārvaldes grāmatvedības un personāla lietvedības procesu nodrošināšanai, izstrādāti un ieviesti standartizēti procesi, tomēr ziņojumā nav ietverta procesu izvērtēšana. Izstrādātie un ieviestie standartizētie procesi personāla lietvedībā iestādei, kura tos izmanto, ir neefektīvi, neērti un sarežģīti lietotājam tos ieviešot personālvadības jomā, ir jāveic papildu funkcijas, ko iepriekš nodrošināja grāmatvedība. Ierosinām papildināt, ka Valsts kase paplašina un pilnveido pakalpojumus, ko nodrošina VPC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Krišāne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Labklājības ministrijas resors, plānojot jaunus Eiropas Savienības un citu ārvalstu finanšu palīdzības projektus, pirms projekta uzsākšanas saskaņo ar Valsts kasi grāmatvedības darba apjomus un tā nodrošināšanai nepieciešamo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protokollēmuma 5.punktu jaunā redakcijā, iekļaujot atsauci uz Iekšlietu ministrijas resoru.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Labklājības ministrijas un Iekšlietu ministrijas resors, plānojot jaunus Eiropas Savienības un citu ārvalstu finanšu palīdzības projektus, pirms projekta uzsākšanas saskaņo ar Valsts kasi grāmatvedības darba apjomus un tā nodrošināšanai nepieciešamo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Danovska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Labklājības ministrijas resors, plānojot jaunus Eiropas Savienības un citu ārvalstu finanšu palīdzības projektus, pirms projekta uzsākšanas saskaņo ar Valsts kasi grāmatvedības darba apjomus un tā nodrošināšanai nepieciešamo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par Ministru kabineta doto uzdevumu, lūdzam papildināt Ministru kabineta sēdes protokollēmuma projekta 5. punktu, konkretizējot tajā minēto plānojamo projektu (kuru grāmatvedības darba apjomi un to nodrošināšanai nepieciešamais finansējums saskaņojams ar Valsts kasi) </w:t>
            </w:r>
            <w:r w:rsidR="00000000" w:rsidRPr="00000000" w:rsidDel="00000000">
              <w:rPr>
                <w:u w:val="single"/>
                <w:rtl w:val="0"/>
              </w:rPr>
              <w:t xml:space="preserve">jomu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26-TA-1786</w:t>
    </w:r>
    <w:r>
      <w:br/>
    </w:r>
    <w:r w:rsidR="00000000" w:rsidRPr="00000000" w:rsidDel="00000000">
      <w:rPr>
        <w:rtl w:val="0"/>
      </w:rPr>
      <w:t xml:space="preserve">Izdrukāts 09.10.2026.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26-TA-1786</w:t>
    </w:r>
    <w:r>
      <w:br/>
    </w:r>
    <w:r w:rsidR="00000000" w:rsidRPr="00000000" w:rsidDel="00000000">
      <w:rPr>
        <w:rtl w:val="0"/>
      </w:rPr>
      <w:t xml:space="preserve">Izdrukāts 09.10.2026.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Atzinumi_26-TA-1786.docx</dc:title>
</cp:coreProperties>
</file>

<file path=docProps/custom.xml><?xml version="1.0" encoding="utf-8"?>
<Properties xmlns="http://schemas.openxmlformats.org/officeDocument/2006/custom-properties" xmlns:vt="http://schemas.openxmlformats.org/officeDocument/2006/docPropsVTypes"/>
</file>