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aviāciju"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29.</w:t>
            </w:r>
            <w:r w:rsidR="00000000" w:rsidRPr="00000000" w:rsidDel="00000000">
              <w:rPr>
                <w:b w:val="1"/>
                <w:vertAlign w:val="superscript"/>
                <w:rtl w:val="0"/>
              </w:rPr>
              <w:t xml:space="preserve">2 </w:t>
            </w:r>
            <w:r w:rsidR="00000000" w:rsidRPr="00000000" w:rsidDel="00000000">
              <w:rPr>
                <w:b w:val="1"/>
                <w:rtl w:val="0"/>
              </w:rPr>
              <w:t xml:space="preserve">Valsts nozīmes civilās aviācijas lidlauka īpašnieka rīcība ar valsts nozīmes civilās aviācijas lidlauka teritoriju (arī turpmākajai attīstībai nepieciešamo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nozīmes civilās aviācijas lidlauka īpašnieka pārvaldīšanā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nozīmes civilās aviācijas lidlauka teritorijā (arī turpmākajai attīstībai nepieciešamajā teritorijā) esošais publiskai personai piederošais nekustamais īpašums, kas netiek izmantotas valsts pārvaldes funkcijas īstenošanai un nav nodots citas valsts kapitālsabiedrības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valsts nozīmes civilās aviācijas lidlauka īpašnieka pieprasījuma valsts nozīmes civilās aviācijas lidlauka teritorijā (arī turpmākajai attīstībai nepieciešamajā teritorijā) esošais atvasinātai publiskai personai piederošais nekustamais īpašums, kas netiek izmantots valsts pārvaldes funkciju vai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civilās aviācijas lidlauka īpašnieka  tiesības un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nodot tā pārvaldīšanā publiskai personai piederošo nekustamo īpašumu, kas atrodas lidlauka teritorijā (arī turpmākajai attīstībai nepieciešamā teritorijā) un netiek izmantotas valsts pārvaldes funkciju vai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pārvaldīšanā esošo publiskai personai piederošo nekustamo īpašumu, iznomāt, izīrēt, slēgt, par to apbūves tiesību līgumu. Saņemot iepriekšēju publiskas personas piekrišanu, apgrūtināt ar lietu tiesībām, tajā skaitā ar servitūtiem ēku (būvju), virszemes un pazemes komunikāciju būvniecībai vai citas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normatīvajiem aktiem atbilstošu pārvaldīšanā nodoto publiskai personai piederošo nekustamo īpašumu ieņēmumu un izdevumu uzskaiti. Ieņēmumi, kas gūti no valsts nozīmes civilās aviācijas lidlauka īpašnieka pārvaldīšanā nodoto publiskai personai piederošo nekustamo īpašumu nomas un/vai apbūves tiesības piešķiršanas, ir  valsts nozīmes civilās aviācijas lidlauka īpašnieka finanšu līdzekļi, kas izlietojami ar pārvaldīšanu saistīto izdevumu segšanai (apsaimniekošana, uzskaite, attīstība, nodokļu nomaksa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ierosināt publiskai personai piederoša nekustamā īpašuma, kas atrodas lidlauka teritorijas (arī turpmākajai attīstībai nepieciešamā teritorijā) robežās, atsavināšanu. Šajā gadījumā nekustamais īpašums tiek atsavināts valsts nozīmes civilās aviācijas lidlauka īpašniekam Publiskas personas mantas atsavināšanās likumā noteiktajā kārtībā, kas piemērojama minētā likuma 4.panta ceturtajā daļā minētajām personām par minētajā likumā paredzēto nosacīto cenu. Atsavināšana veicama Ministru kabineta 2011.gada 1.februāra noteikumos Nr.109 “Kārtība kādā atsavināma publiskas personas manta” noteiktajā kārtībā, kas piemērojama Publiskas personas mantas atsavināšanas likuma 4.panta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nozīmes civilās aviācijas lidlauka īpašnieks šā panta otrās daļas 2. – 5.punktā minētajos gadījumos rīkojas nekustamā īpašuma īpašnieka vārdā. Valsts nozīmes civilās aviācijas lidlauka īpašnieks nodrošina iznomāšanai/apbūves tiesības piešķiršanai paredzēto un lietošanā nodoto objektu uzskaiti, kā arī nodrošina, ka informācija par tiem ir publiski pieejama, ievērojot normatīvajos aktos paredzētos informācijas pieejamības ierobežojumus. Valsts nozīmes civilās aviācijas lidlauka īpašnieks darījumos ar tā pārvaldīšanā nodoto publiskai personai piederošo nekustamo īpašumu ir atbildīgs par visām nastām un ar savām darbībām īpašniekam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Lidlauka teritorijā (arī turpmākajai attīstībai nepieciešamā teritorijā) apbūves tiesību var nodibināt uz zemi, kas atrodas vairāku valsts nozīmes civilās aviācijas lidlauka īpašniekam pārvaldīšanā esošu nekustamo īpašumu sastāvā. Šādā gadījumā apbūves tiesības spēkā esības laikā veicamas darbības, kas nepieciešamas, lai nekustamo īpašumu konfigurācija un robežas pieļautu uzcelto ēku (būvju) iekļaušanu to sastāvā pēc apbūves tiesības izbeigšanās. Ja šādas darbības nav veiktas, valsts nozīmes civilās aviācijas lidlauka īpašnieks līdz brīdim, kad izbeidzas tā pārvaldīšana uz attiecīgiem nekustamajiem īpašumiem, nodrošina tādu darbu veikšanu, kas nepieciešami, lai uz zemes esošā apbūve atbilstu zemes un būvju vienotības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nozīmes civilās aviācijas lidlauka īpašniekam pārvaldīšanā nodotā nekustamā īpašuma nomas, īres vai apbūves tiesības termiņš, kā arī valsts nozīmes civilās aviācijas lidlauka īpašniekam vai ar tā  starpniecību citām juridiskajām vai fiziskajām personām nodibināto servitūtu tiesību termiņš drīkst pārsniegt 30 gadus. Nosakot termiņu, kas garāks par 30 gadiem, tiek ņemti vērā sekojoši kritēriji: plānoto nepieciešamo ieguldījumu apjoms, līguma izpildes rezultātā tapušā objektā vai tajā sniedzamo pakalpojumu nepieciešamība  valsts nozīmes civilās aviācijas lidlauka darbībai un/vai turpmākai attīstībai, kā arī nekustamā īpašuma tirgus tendences un pieprasījumu pēc līguma izpildes rezultātā tapušā objektā vai tajā sniedzamiem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apbūves tiesības izbeigšanās valsts nozīmes civilās aviācijas lidlauka īpašnieks par ēku (būvi), kura uzcelta uz apbūves tiesības pamata, apbūves tiesīgajam izmaksā atlīdzību, ja tāda paredzēta līgumā par apbūves tiesības piešķiršanu. Atlīdzība izmaksājama, atbilstoši neatkarīga vērtētāja noteiktajam atlīdzināmo izdevumu apmēram uz apbūves tiesības līguma izbeigšanas brīža, ja ēka (būve) ir ekspluatācijai derīgā stāvoklī, tajā nav veikta patvaļīga būvniecība un apbūves tiesīgais ir nodevis valsts nozīmes civilās aviācijas lidlauka īpašniekam ēkas (būves) būvniecības un ekspluatācijas dokumentāciju. Atlīdzināmo izdevumu apmēru nosaka saskaņā ar Civillikumu, ņemot vērā nolietojumu apbūves tiesības līguma darbības laikā, veikto darba izmaksu atbilstību tirgus cenām darbu veikšanas brīdī un citus apstākļus. Saskaņā ar likuma "Par aviāciju" 29.</w:t>
            </w:r>
            <w:r w:rsidR="00000000" w:rsidRPr="00000000" w:rsidDel="00000000">
              <w:rPr>
                <w:vertAlign w:val="superscript"/>
                <w:rtl w:val="0"/>
              </w:rPr>
              <w:t xml:space="preserve">2 </w:t>
            </w:r>
            <w:r w:rsidR="00000000" w:rsidRPr="00000000" w:rsidDel="00000000">
              <w:rPr>
                <w:rtl w:val="0"/>
              </w:rPr>
              <w:t xml:space="preserve">pirmo daļu, pēc apbūves tiesības izbeigšanās ēka (būve) pāriet valsts nozīmes civilās aviācijas lidlauka īpašnieka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likuma 29.</w:t>
            </w:r>
            <w:r w:rsidR="00000000" w:rsidRPr="00000000" w:rsidDel="00000000">
              <w:rPr>
                <w:vertAlign w:val="superscript"/>
                <w:rtl w:val="0"/>
              </w:rPr>
              <w:t xml:space="preserve">2</w:t>
            </w:r>
            <w:r w:rsidR="00000000" w:rsidRPr="00000000" w:rsidDel="00000000">
              <w:rPr>
                <w:rtl w:val="0"/>
              </w:rPr>
              <w:t xml:space="preserve"> panta piektajā daļā noteikts, ka “valsts nozīmes civilās aviācijas lidlauka īpašniekam pārvaldīšanā nodotā nekustamā īpašuma nomas, īres vai apbūves tiesības termiņš, kā arī valsts nozīmes civilās aviācijas lidlauka īpašniekam vai ar tā  starpniecību citām juridiskajām vai fiziskajām personām nodibināto servitūtu tiesību </w:t>
            </w:r>
            <w:r w:rsidR="00000000" w:rsidRPr="00000000" w:rsidDel="00000000">
              <w:rPr>
                <w:u w:val="single"/>
                <w:rtl w:val="0"/>
              </w:rPr>
              <w:t xml:space="preserve">termiņš drīkst pārsniegt 30 gadus. Nosakot termiņu, kas garāks par 30 gadiem, tiek ņemti vērā noteikti kritēriji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plānotajā likuma 29.</w:t>
            </w:r>
            <w:r w:rsidR="00000000" w:rsidRPr="00000000" w:rsidDel="00000000">
              <w:rPr>
                <w:vertAlign w:val="superscript"/>
                <w:rtl w:val="0"/>
              </w:rPr>
              <w:t xml:space="preserve">2</w:t>
            </w:r>
            <w:r w:rsidR="00000000" w:rsidRPr="00000000" w:rsidDel="00000000">
              <w:rPr>
                <w:rtl w:val="0"/>
              </w:rPr>
              <w:t xml:space="preserve"> panta piektajā daļā precizēt un skaidrāk formulēt tiesību/saistību termiņu, t.i., vispirms nosakot maksimālo pieļaujamo termiņu, un tikai tad secīgi uzskaitīt nosacījumus izņēmuma gadījumu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vērš uzmanību, ka šobrīd definētie kritēriji izņēmumu gadījumu piemērošanai pieļauj subjektivitāti vērtējumā par iespējamu termiņa pagarinājumu, kas pārsniegtu 30 gadus. Aicinām izskatīt iespēju kritēriju lokā iekļaut, piemēram, ieguldījumu apjoma robežvērtību vai citus iespējami mērāmus rādītājus, kas attiecīgi ļaus objektīvi izvērtēt situāciju un pieņemt atbilstošus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22.11.2023.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22.11.2023.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Atzinumi_22-TA-1978.docx</dc:title>
</cp:coreProperties>
</file>

<file path=docProps/custom.xml><?xml version="1.0" encoding="utf-8"?>
<Properties xmlns="http://schemas.openxmlformats.org/officeDocument/2006/custom-properties" xmlns:vt="http://schemas.openxmlformats.org/officeDocument/2006/docPropsVTypes"/>
</file>