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apakšsadaļā "Cita informācija" sniegto skaidrojumu par 1.1.1.3. pasākuma "Praktiskas ievirzes pētījumi" kopējā finansējuma palielinājuma avotu. Norādām, ka šajā apakšsadaļā norādītais 1.1.1.3. pasākuma "Praktiskas ievirzes pētījumi" otrās atlases kārtas ietvaros pieejamais kopējais finansējuma apmērs neatbilst Ministru kabineta noteikumu projekta 17.punktā norādītajam otrās projektu iesniegumu atlases kārtas īstenošanai pieejamā kopējā finansējuma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3.sadaļā iekļauto informāciju atbilstoši noteikumu projektā paredzētajam, t.i., sniedzot informāciju par veiktajiem grozījumiem 1.1.1.3. pasākuma "Praktiskas ievirzes pētījumi" īstenošanā sadalījumā pa gadiem un finansējuma avotiem. Vēršam uzmanību, ka šobrīd norādītās izmaiņas minētajā sadaļā iekļauj tikai pārdalāmā finansējuma atlikumu no 1.1.1.7. pasākuma "Inovāciju granti studentiem" īstenošanas, bet neiekļauj pārdalāmo elastības finansējumu no iepriekš minētā pasākuma.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w:t>
            </w:r>
            <w:r w:rsidR="00000000" w:rsidRPr="00000000" w:rsidDel="00000000">
              <w:rPr>
                <w:vertAlign w:val="superscript"/>
                <w:rtl w:val="0"/>
              </w:rPr>
              <w:t xml:space="preserve">1</w:t>
            </w:r>
            <w:r w:rsidR="00000000" w:rsidRPr="00000000" w:rsidDel="00000000">
              <w:rPr>
                <w:rtl w:val="0"/>
              </w:rPr>
              <w:t xml:space="preserve"> šo noteikumu 32.1. apakšpunktā minētā darbība veikta, kad labuma guvējs ir iesniedzis sadarbības iestādei iesniegumu par projekta īstenošanu, ja īsteno ar saimniecisku darbību saistītu projektu šo noteikumu 3.1. apakšpunktā noteiktajā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projekta 32.1.2.apakšpunktu tehniski ekonomiskā priekšizpēte jeb 32.1.apakšpunktā minētā darbība nav attiecināma uz gadījumiem, kad finansējumu ar saimniecisku darbību saistītu projektu īstenošanai piešķir saskaņā ar Komisijas regulas Nr.  651/2014 25. pantu. Savukārt MK noteikumu projekta 3.1.apakšpunktā noteiktajā gadījumā atbalsts tiek piešķirts tieši saskaņā ar Komisijas regulas Nr.  651/2014 25. pantu. Aicinām dzēst šo punktu, jo MK noteikumu projekta 37.1.apakšpunkts jau pasaka, ka tehniski ekonomiskās priekšizpētes darbību saimnieciska projekta gadījumā var uzsākt pēc atlases izsludināšanas, ja ir 3.2.apakšpunktā noteiktais gadījums.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Līvija Rumbeniece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Vispārīgie finansēšanas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SAM 1113 2.kārtas viens no projekta iesnieguma kvalitātes vērtēšanas kritērijiem paredz vērtēt, vai projekta ietvaros plānots izstrādāt produktus vai tehnoloģijas ar iespējamu pielietojumu militārajām vajadzībām, un ir norādīts, ka uz šo atlasi attiecas tikai divējāda lietojuma produkti vai tehnoloģijas, šajos MK noteikumos ir jāiestrādā divējāda lietojuma definīcija. Papildus ir nepieciešami skaidri nosacījumi attiecībā uz militārās jomas pētniecības projektiem (saimnieciskajiem), jo atbalsts tiem nekvalificējas kā komercdarbības atbalsts. Gadījumā, ja atbalsts militārās jomas pētniecības projektiem nav plānots piešķirt, ir jābūt pamatojumam par to MKN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ja atbalsts finansējuma saņēmējam tiek izsniegts saskaņā ar Komisijas regulu Nr.  651/2014, darbības var uzsākt no brīža, kad labuma guvējs ir iesniedzis sadarbības iestādei iesniegumu par projekta īstenošanu, ievērojot Komisijas regulas Nr. 651/2014 6. panta 2. punktā minētos nosacījumus par stimulējošo ietekmi. Ja darbi pie projekta uzsākti pirms projekta iesniegšanas atbalsta sniedzējam, viss projekts ir noraidāms;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juridisko noteiktību atbalsta saņēmējam, no kura brīža ir pieļaujamas izmaksas, kā arī, lai būtu skaidrs, kas ir saprotams ar darbu uzsākšanu, lūdzam papildināt ar atsauci uz Komisijas regulas Nr. 651/2014 2. panta 23. punktā minēto darbu sākumu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47.2. tehniski ekonomiskās priekšizpētes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pretrunu noteikumos, pārskatot visas tajos ietvertās normas, lai attiecībā uz tehniski ekonomiskās priekšizpētes veikšanu ar saimniecisku darbību saistītu projektu gadījumā skaidri noteiktu, kuros gadījumos šīm izmaksām tiek sniegts atbalsts ar Komisijas regulas Nr.  651/2014 25. pantu un kuros - ar Komisijas regulu Nr. 2023/2831. Vienlaikus lūdzam arī precizēt skaidrojumu anotācijā. Piemēram, skaidrojam, ka, no vienas puses, 32.1.2.apakšpunkts nosaka, ka otrajā projektu iesniegumu atlases kārtā kā atbalstāmā darbība ir tehniski ekonomiskā priekšizpēte, "ja īsteno šo noteikumu 32.2. apakšpunktā minēto pētniecību izņemot gadījumus, kad finansējumu ar saimniecisku darbību saistītu projektu īstenošanai piešķir saskaņā ar Komisijas regulas Nr.  651/2014 25. pantu", taču, no otras puses, noteikumu projekta 47.2.apakšpuntā tieši ir noteiktas intensitātes tehniski ekonomiskās priekšizpētes veikšanai ar saimniecisku darbību saistītu projektu gadījumā, kad publiskais finansējums tiek piešķirts atbilstoši Komisijas regulas Nr. 651/2014 25. panta 5. un 6. punkta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2</w:t>
            </w:r>
            <w:r w:rsidR="00000000" w:rsidRPr="00000000" w:rsidDel="00000000">
              <w:rPr>
                <w:rtl w:val="0"/>
              </w:rPr>
              <w:t xml:space="preserve"> Gadījumā, ja publiskais finansējums tiek piešķirts de minimis atbalsta veidā saskaņā ar 3.2. punktā noteikto regulējumu, tad: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pašlaik no noteikumu projekta ir secināms, ka tehniski ekonomiskās priekšizpētes projekta iesnieguma pieteikuma iesniedzējs būs finansējuma saņēmējs un ka sadarbības partneris nebūs de minimis atbalsta saņēmējs, lūdzam atbilstoši precizēt, piemēram, noteikumu projekta 48.</w:t>
            </w:r>
            <w:r w:rsidR="00000000" w:rsidRPr="00000000" w:rsidDel="00000000">
              <w:rPr>
                <w:vertAlign w:val="superscript"/>
                <w:rtl w:val="0"/>
              </w:rPr>
              <w:t xml:space="preserve">2</w:t>
            </w:r>
            <w:r w:rsidR="00000000" w:rsidRPr="00000000" w:rsidDel="00000000">
              <w:rPr>
                <w:rtl w:val="0"/>
              </w:rPr>
              <w:t xml:space="preserve">1. apakšpunktu un pēc nepieciešamības arī citus noteikumu projekta punktus. Gadījumā, ja ir paredzēts, ka arī sadarbības partneris var saņemt de minimis atbalstu, tad lūdzam pārskatīt noteikumu projektu, attiecinot attiecīgos nosacījumus arī uz sadarbības partneri.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2</w:t>
            </w:r>
            <w:r w:rsidR="00000000" w:rsidRPr="00000000" w:rsidDel="00000000">
              <w:rPr>
                <w:rtl w:val="0"/>
              </w:rPr>
              <w:t xml:space="preserve"> Gadījumā, ja publiskais finansējums tiek piešķirts de minimis atbalsta veidā saskaņā ar 3.2. punktā noteikto regulējumu, tad: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normu attiecībā uz kumulācijas pieļaušanu/nepieļaušanu gadījumā, ja atbalsts tiek sniegts saskaņā ar Komisijas regulu Nr. 2023/2831.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Sadarbības iestāde projektu iesniegumu atlasē starptautisko zinātnisko ekspertīzi nodrošina sadarbībā ar Latvijas Zinātnes padomi. Otrās projektu iesniegumu atlases kārtas projektu iesniegumu vērtēšanas komisijas darbā sadarbības iestāde kā ārējo ekspertu iesaista Aizsardzības ministrijas un Iekšlietu ministrijas norīkotu pārstāvi, kas sniedz atzinumu par projekta iesnieguma pielietojamību aizsardzības, sabiedrības drošības un noturības jomā, ievērojot projekta iesnieguma vērtēšanas kritēriju piemērošanas metodiku.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pasākuma īstenošanas 2.kārtas Kvalitātes kritērijos paredzētajam* (šobrīd saskaņošanā UK rakstiskajā procedūrā), lūdzam punktu papildināt ar piebildi, ka Aizsardzības ministrijas un Iekšlietu ministrijas norīkoto pārstāvju iesaiste paredzēta gadījumos, ja projektā paredzēta jauna vai būtiski uzlabota produkta vai tehnoloģijas izstrāde aizsardzības jomā vai sabiedrības drošības vai noturības jomā. Pretēja gadījumā sanāk, ka AiM un IEM ir jāvērtē visu projektu pielietojamība aizsardzības, sabiedrības drošības un noturības jomā, kā arī MK noteikumu projektā nav minēta atsauce uz aizsardzības jomu vai sabiedrības drošības vai noturības jomām.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*kvalitātes kritērijs Nr. 4.5."Projektā paredzēta jauna vai būtiski uzlabota produkta vai tehnoloģijas izstrāde aizsardzības jomā vai sabiedrības drošības vai noturības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54.Otrās projektu iesniegumu atlases kārtas projektu iesniegumu vērtēšanas komisijas darbā sadarbības iestāde kā ārējo ekspertu iesaista Aizsardzības ministrijas un Iekšlietu ministrijas norīkotu pārstāvi, </w:t>
            </w:r>
            <w:r w:rsidR="00000000" w:rsidRPr="00000000" w:rsidDel="00000000">
              <w:rPr>
                <w:u w:val="single"/>
                <w:rtl w:val="0"/>
              </w:rPr>
              <w:t xml:space="preserve">ja projektā paredzēta jauna vai būtiski uzlabota produkta vai tehnoloģijas izstrāde aizsardzības jomā vai sabiedrības drošības vai noturības jomā</w:t>
            </w:r>
            <w:r w:rsidR="00000000" w:rsidRPr="00000000" w:rsidDel="00000000">
              <w:rPr>
                <w:rtl w:val="0"/>
              </w:rPr>
              <w:t xml:space="preserve">, kas sniedz atzinumu par projekta iesnieguma pielietojamību aizsardzības, sabiedrības drošības un noturības jomā, ievērojot projekta iesnieguma vērtēšanas kritēriju piemērošanas metodiku.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r w:rsidR="00000000" w:rsidRPr="00000000" w:rsidDel="00000000">
              <w:rPr>
                <w:vertAlign w:val="superscript"/>
                <w:rtl w:val="0"/>
              </w:rPr>
              <w:t xml:space="preserve">1</w:t>
            </w:r>
            <w:r w:rsidR="00000000" w:rsidRPr="00000000" w:rsidDel="00000000">
              <w:rPr>
                <w:rtl w:val="0"/>
              </w:rPr>
              <w:t xml:space="preserve"> Ja atbalsts sniegts saskaņā ar Komisijas regulu Nr. 2023/2831, finansējuma saņēmējs nodrošina informācijas pieejamību 10 gadus no pēdējā piešķirtā atbalsta, atbilstoši Komisijas regulas Nr. 2023/2831 6. panta 3. un 7. punktam.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atbalstu, kas sniegts ar Komisijas regulu Nr. 2023/2831, papildināt noteikumu projekta 75.</w:t>
            </w:r>
            <w:r w:rsidR="00000000" w:rsidRPr="00000000" w:rsidDel="00000000">
              <w:rPr>
                <w:vertAlign w:val="superscript"/>
                <w:rtl w:val="0"/>
              </w:rPr>
              <w:t xml:space="preserve">1</w:t>
            </w:r>
            <w:r w:rsidR="00000000" w:rsidRPr="00000000" w:rsidDel="00000000">
              <w:rPr>
                <w:rtl w:val="0"/>
              </w:rPr>
              <w:t xml:space="preserve"> punktu ar informācijas glabāšanas pienākuma nosacījumu arī attiecībā uz atbalsta 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pasākuma 2.kārtas kritēriju projektu (šobrīd saskaņošanā UK rakstiskajā procedūrā), aicinām IZM anotācijas sadaļā "Risinājuma apraksts"/ "Problēmas apraksts" attiecībā uz minēto atsauci uz </w:t>
            </w:r>
            <w:r w:rsidR="00000000" w:rsidRPr="00000000" w:rsidDel="00000000">
              <w:rPr>
                <w:i w:val="1"/>
                <w:rtl w:val="0"/>
              </w:rPr>
              <w:t xml:space="preserve">iekšējās vai ārējās drošības jomām, </w:t>
            </w:r>
            <w:r w:rsidR="00000000" w:rsidRPr="00000000" w:rsidDel="00000000">
              <w:rPr>
                <w:rtl w:val="0"/>
              </w:rPr>
              <w:t xml:space="preserve">precīzāk atrunāt plānotās atbalsta jomas -  ka  projekts var paredzēt jauna vai būtiski uzlabota produkta vai tehnoloģijas izstrādi </w:t>
            </w:r>
            <w:r w:rsidR="00000000" w:rsidRPr="00000000" w:rsidDel="00000000">
              <w:rPr>
                <w:u w:val="single"/>
                <w:rtl w:val="0"/>
              </w:rPr>
              <w:t xml:space="preserve">aizsardzības jomā vai sabiedrības drošības vai  noturības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anotācijas sadaļas 6. punktā (Latvijas viedās specializācijas stratēģijas (RIS3) rādītāji), papildināt informāciju, ka </w:t>
            </w:r>
            <w:r w:rsidR="00000000" w:rsidRPr="00000000" w:rsidDel="00000000">
              <w:rPr>
                <w:i w:val="1"/>
                <w:rtl w:val="0"/>
              </w:rPr>
              <w:t xml:space="preserve">datu par P&amp;A tehniskā personāla ar detalizētu sadalījumu pēc izglītības līmeņa izkrāšana</w:t>
            </w:r>
            <w:r w:rsidR="00000000" w:rsidRPr="00000000" w:rsidDel="00000000">
              <w:rPr>
                <w:rtl w:val="0"/>
              </w:rPr>
              <w:t xml:space="preserve">, ar informāciju, ka tas rada lieku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paredz uzkrāt informāciju par P&amp;A tehnisko personālu ar detalizētu sadalījumu pēc dažādām pazīmēm, tai skaitā pēc izglītības līmeņa (MK noteikumu Nr. 407  8.12.1.2. un 8.13.1.2.apakšpunkts),  </w:t>
            </w:r>
            <w:r w:rsidR="00000000" w:rsidRPr="00000000" w:rsidDel="00000000">
              <w:rPr>
                <w:u w:val="single"/>
                <w:rtl w:val="0"/>
              </w:rPr>
              <w:t xml:space="preserve">kas rada lieku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8.2.punktā “Cita informācija” precizēt norādīto informāciju par horizontālo principu, aizstājot “Klimantdrošinšana” uz horizontālais principu “Vienlīdzība, iekļaušana, nediskriminācija un pamattiesību ievērošana”, kas pēc būtības attiecas uz 1.1.1.3.pasākumu.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5.1.apakšpunktu atbilstoši šīs sadaļas 5.punktā norādītajām finansiālajām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viennozīmīgai izpratnei papildināt noteikumu projekta anotācijas 4.sadaļu ar saistītajiem tiesību aktu nosaukumiem, nepieciešamajiem grozījumiem tajos, pamatojumu un aprakstu atbilstoši Valsts kancelejas 2021.gada izstrādātajām vadlīnijām "Vadlīnijas tiesību akta projekta sākotnējās ietekmes novērtēšanai un novērtējuma ziņojuma sagatavošanai vienotajā tiesību aktu izstrādes un saskaņošanas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Publisko finansējumu ar saimniecisku darbību saistītu projektu īstenošanai piešķir saskaņā ar vienu no šiem regulējumiem: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pārskatīt šī punkta un tā apkšpunktu redakcionālo formulējumu, padarot to skaidrāku, jo tā pašreizējā redakcijā īsti nenolasās izvēles opcijas, proti, tā ievaddaļa piedāvā piemērot  vienu no diviem tā apakšpunktos minētajiem regulējumiem, bet 3.2.apakšpunkts nosaka, ka de minimis regulējams piemērojams "sākot ar 2.kārtu".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Otrās projektu iesniegumu atlases kārtas īstenošanai pieejamo kopējo finansējumu plāno ne vairāk kā 29372183 euro apmērā (no tā elastības finansējums – 9 189 077 euro), tai skaitā Eiropas Reģionālās attīstības fonda finansējumu – 24372120 euro apmērā (no tā elastības finansējums – 7 810 716 euro), valsts budžeta līdzfinansējumu –  5000063 euro apmērā (no tā elastības finansējums – 1 378 361 euro),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minētajā punktā norādīto kopējo publiskā finansējuma apmēru, jo tas par 1 eiro neatbilst 18.1.1. un 18.2. apakšpunktos norādīto summu kopsummai.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27.3.1. ar saimniecisku darbību saistīta projekta vidējās svērtās publiskā finansējuma intensitātes aprēķinu (</w:t>
            </w:r>
            <w:r w:rsidR="00000000" w:rsidRPr="00000000" w:rsidDel="00000000">
              <w:rPr>
                <w:rtl w:val="0"/>
              </w:rPr>
              <w:t xml:space="preserve">​pielikums</w:t>
            </w:r>
            <w:r w:rsidR="00000000" w:rsidRPr="00000000" w:rsidDel="00000000">
              <w:rPr>
                <w:rtl w:val="0"/>
              </w:rPr>
              <w:t xml:space="preserve">) vai veidlapu </w:t>
            </w:r>
            <w:r w:rsidR="00000000" w:rsidRPr="00000000" w:rsidDel="00000000">
              <w:rPr>
                <w:rtl w:val="0"/>
              </w:rPr>
              <w:t xml:space="preserve">atbilstoši 48.2.3. 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minētajā punktā norādīto atsauci uz 48.</w:t>
            </w:r>
            <w:r w:rsidR="00000000" w:rsidRPr="00000000" w:rsidDel="00000000">
              <w:rPr>
                <w:vertAlign w:val="superscript"/>
                <w:rtl w:val="0"/>
              </w:rPr>
              <w:t xml:space="preserve">2</w:t>
            </w:r>
            <w:r w:rsidR="00000000" w:rsidRPr="00000000" w:rsidDel="00000000">
              <w:rPr>
                <w:rtl w:val="0"/>
              </w:rPr>
              <w:t xml:space="preserve">3. punktu atbilstoši MNK iekļautajai punktu numerācijai.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saimniecisku darbību saistīta projekta vidējās svērtās publiskā finansējuma intensitātes aprēķinu (​pielikums) vai atbilstoši 48.</w:t>
            </w:r>
            <w:r w:rsidR="00000000" w:rsidRPr="00000000" w:rsidDel="00000000">
              <w:rPr>
                <w:vertAlign w:val="superscript"/>
                <w:rtl w:val="0"/>
              </w:rPr>
              <w:t xml:space="preserve">2</w:t>
            </w:r>
            <w:r w:rsidR="00000000" w:rsidRPr="00000000" w:rsidDel="00000000">
              <w:rPr>
                <w:rtl w:val="0"/>
              </w:rPr>
              <w:t xml:space="preserve">3. punktam, pievieno de minimis atbalsta uzskaites sistēmā sagatavoto veidlapu, ja projekta iesniegumā nav norādīts de minimis atbalsta uzskaites sistēmā izveidotās un apstiprinātās veidlapas identifikācijas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šo noteikumu </w:t>
            </w:r>
            <w:r w:rsidR="00000000" w:rsidRPr="00000000" w:rsidDel="00000000">
              <w:rPr>
                <w:rtl w:val="0"/>
              </w:rPr>
              <w:t xml:space="preserve">23.2.1.</w:t>
            </w:r>
            <w:r w:rsidR="00000000" w:rsidRPr="00000000" w:rsidDel="00000000">
              <w:rPr>
                <w:rtl w:val="0"/>
              </w:rPr>
              <w:t xml:space="preserve"> apakšpunktā</w:t>
            </w:r>
            <w:r w:rsidR="00000000" w:rsidRPr="00000000" w:rsidDel="00000000">
              <w:rPr>
                <w:rtl w:val="0"/>
              </w:rPr>
              <w:t xml:space="preserve"> minētajā gadījumā – elektroniski vai papīra formā parakstītu nodomu protokolu, līgumu par līgumpētījuma slēgšanu ar atliekošajiem nosacījumiem par līguma spēkā stāšanos vai tā apliecinātu kopiju, ietverot šo noteikumu </w:t>
            </w:r>
            <w:r w:rsidR="00000000" w:rsidRPr="00000000" w:rsidDel="00000000">
              <w:rPr>
                <w:rtl w:val="0"/>
              </w:rPr>
              <w:t xml:space="preserve">29.</w:t>
            </w:r>
            <w:r w:rsidR="00000000" w:rsidRPr="00000000" w:rsidDel="00000000">
              <w:rPr>
                <w:rtl w:val="0"/>
              </w:rPr>
              <w:t xml:space="preserve"> 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šī punkta izpratnē ir saprotams ar  "atliekošajiem"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šo noteikumu </w:t>
            </w:r>
            <w:r w:rsidR="00000000" w:rsidRPr="00000000" w:rsidDel="00000000">
              <w:rPr>
                <w:rtl w:val="0"/>
              </w:rPr>
              <w:t xml:space="preserve">23.2.1.</w:t>
            </w:r>
            <w:r w:rsidR="00000000" w:rsidRPr="00000000" w:rsidDel="00000000">
              <w:rPr>
                <w:rtl w:val="0"/>
              </w:rPr>
              <w:t xml:space="preserve"> apakšpunktā</w:t>
            </w:r>
            <w:r w:rsidR="00000000" w:rsidRPr="00000000" w:rsidDel="00000000">
              <w:rPr>
                <w:rtl w:val="0"/>
              </w:rPr>
              <w:t xml:space="preserve"> minētajā gadījumā – elektroniski vai papīra formā parakstītu nodomu protokolu, līgumu par līgumpētījuma slēgšanu ar atliekošajiem nosacījumiem par līguma spēkā stāšanos vai tā apliecinātu kopiju, ietverot šo noteikumu </w:t>
            </w:r>
            <w:r w:rsidR="00000000" w:rsidRPr="00000000" w:rsidDel="00000000">
              <w:rPr>
                <w:rtl w:val="0"/>
              </w:rPr>
              <w:t xml:space="preserve">29.</w:t>
            </w:r>
            <w:r w:rsidR="00000000" w:rsidRPr="00000000" w:rsidDel="00000000">
              <w:rPr>
                <w:rtl w:val="0"/>
              </w:rPr>
              <w:t xml:space="preserve"> 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saimnieciskajiem  pētījumiem viens no būtiskākajiem komerdarbības atbalsta nosacījumiem ir stimulējošās ietekmes prasību nodrošināšana, t.i., nedrīkst uzņemties nekādas juridiskas saistības par darbībām projektā pirms projekta iesnieguma iesniegšanas, aicinām dzēst 27.4.apakšpunktā noteikto prasību, jo tajā saskatāmi ļoti augsti stimulējošās ietekmes pārkāpšanas riski.</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šo noteikumu </w:t>
            </w:r>
            <w:r w:rsidR="00000000" w:rsidRPr="00000000" w:rsidDel="00000000">
              <w:rPr>
                <w:rtl w:val="0"/>
              </w:rPr>
              <w:t xml:space="preserve">23.2.1.</w:t>
            </w:r>
            <w:r w:rsidR="00000000" w:rsidRPr="00000000" w:rsidDel="00000000">
              <w:rPr>
                <w:rtl w:val="0"/>
              </w:rPr>
              <w:t xml:space="preserve"> apakšpunktā</w:t>
            </w:r>
            <w:r w:rsidR="00000000" w:rsidRPr="00000000" w:rsidDel="00000000">
              <w:rPr>
                <w:rtl w:val="0"/>
              </w:rPr>
              <w:t xml:space="preserve"> minētajā gadījumā – elektroniski vai papīra formā parakstītu nodomu protokolu, līgumu par līgumpētījuma slēgšanu ar atliekošajiem nosacījumiem par līguma spēkā stāšanos vai tā apliecinātu kopiju, ietverot šo noteikumu </w:t>
            </w:r>
            <w:r w:rsidR="00000000" w:rsidRPr="00000000" w:rsidDel="00000000">
              <w:rPr>
                <w:rtl w:val="0"/>
              </w:rPr>
              <w:t xml:space="preserve">29.</w:t>
            </w:r>
            <w:r w:rsidR="00000000" w:rsidRPr="00000000" w:rsidDel="00000000">
              <w:rPr>
                <w:rtl w:val="0"/>
              </w:rPr>
              <w:t xml:space="preserve"> 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nodomu protokola noslēgšanu neregulē ne Civillikums, ne Publisko iepirkumu likums, nav izprotams kāda normatīvā akta piemērošanas rezultātā tas varētu tikt noslēgts. Papildus, ja nodomu protokols tiktu noslēgts pirms iepirkuma procedūras veikšanas, varētu tikt saskatītas aizliegtās vienošanās pazīmes. Nodomu protokolu teorētiski varētu noslēgt cenu aptaujas rezultātā, bet jāņem vērā, ka šī brīža  normatīvais regulējums zinātniskajām institūcijām ir PIL, kas paredz cenu aptaujas līdz 10 000 EUR bez PVN. Nav zināma neviena zinātniska institūcija, kas būtu komersants, biedrība vai sabiedrisko pakalpojumu sniedzējs, kam varētu piemērot augstāku izmaksu slieksni.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Līvija Rumbeniece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Uz projektu, kas saistīts ar saimniecisku darbību, attiecināmas ir Komisijas regulas Nr. 651/2014 25. panta 3. punkta "a", "b", "d" un "e" apakšpunktā noteiktās pētniecības izmaksas vai de minimis atbalsts saskaņā ar Komisijas regulu (ES) Nr. 2023/2831. Tehnoloģiju tiesību aizsardzībai attiecināmas ir Komisijas regulas Nr. 651/2014 28. panta 2. punkta "a" apakšpunktā minētās izmaksas, ja atbalstu saņem saskaņā ar šo noteikumu 3.1. punktu vai de minimis atbalsts saskaņā ar Komisijas regulu (ES) Nr. 2023/2831, ja atbalstu saņem saskaņā ar šo noteikumu 3.2. punktu. Komisijas regulas (ES) Nr. 651/2014 izmaksu kategorijas attiecināmas arī uz projektiem, kuru finansējums tiek piešķirts saskaņā ar Komisijas regulu (ES) Nr.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ir pārāk sarežģīta un satur vairākus garus teikumus ar vairākkārtējām atsaucēm uz regulām, kas apgrūtina tās uztveramību un skaidru interpretāciju. Lai nodrošinātu vienkāršu un pārskatāmu informācijas uztveri, lūdzam precizēt un vienkāršot minētajā punktā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projektu, kas saistīts ar saimniecisku darbību, attiecināmas ir Komisijas regulas Nr. 651/2014 25. panta 3. punkta "a", "b", "d" un "e" apakšpunktā noteiktās pētniecības izmaksas. Tehnoloģiju tiesību aizsardzībai attiecināmas ir Komisijas regulas Nr. 651/2014 28. panta 2. punkta "a" apakšpunktā minētās izmaksas. Komisijas regulas (ES) Nr. 651/2014 izmaksu kategorijas un attiecināmās izmaksas attiecināmas arī uz projektiem, kuru finansējums tiek piešķirts saskaņā ar Komisijas regulu (ES) Nr.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šo noteikumu </w:t>
            </w:r>
            <w:r w:rsidR="00000000" w:rsidRPr="00000000" w:rsidDel="00000000">
              <w:rPr>
                <w:rtl w:val="0"/>
              </w:rPr>
              <w:t xml:space="preserve">23.</w:t>
            </w:r>
            <w:r w:rsidR="00000000" w:rsidRPr="00000000" w:rsidDel="00000000">
              <w:rPr>
                <w:rtl w:val="0"/>
              </w:rPr>
              <w:t xml:space="preserve"> punktā</w:t>
            </w:r>
            <w:r w:rsidR="00000000" w:rsidRPr="00000000" w:rsidDel="00000000">
              <w:rPr>
                <w:rtl w:val="0"/>
              </w:rPr>
              <w:t xml:space="preserve"> minētajos gadījumos projekta īstenošanai nepieciešamo līdzfinansējumu nodrošina no projekta iesniedzēja un sadarbības partnera (ja attiecināms) privātā finansējuma (projekta iesniedzēja un sadarbības partnera (ja attiecināms) rīcībā esošie līdzekļi, kredītresursi vai citi finanšu resursi, par kuriem nav saņemts nekāds publisks atbalsts, tai skaitā finansējums, par kuru nav saņemts nekāds valsts vai pašvaldības galvojums, vai valsts vai pašvaldības kredīts uz atvieglotiem nosacījumiem). Līdzfinansējuma apmēru nosaka, ņemot vērā publiskā finansējuma apmēru, kas noteikts, ievērojot šo noteikumu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48.</w:t>
            </w:r>
            <w:r w:rsidR="00000000" w:rsidRPr="00000000" w:rsidDel="00000000">
              <w:rPr>
                <w:rtl w:val="0"/>
              </w:rPr>
              <w:t xml:space="preserve"> un </w:t>
            </w:r>
            <w:r w:rsidR="00000000" w:rsidRPr="00000000" w:rsidDel="00000000">
              <w:rPr>
                <w:rtl w:val="0"/>
              </w:rPr>
              <w:t xml:space="preserve">49.</w:t>
            </w:r>
            <w:r w:rsidR="00000000" w:rsidRPr="00000000" w:rsidDel="00000000">
              <w:rPr>
                <w:rtl w:val="0"/>
              </w:rPr>
              <w:t xml:space="preserve"> punkta</w:t>
            </w:r>
            <w:r w:rsidR="00000000" w:rsidRPr="00000000" w:rsidDel="00000000">
              <w:rPr>
                <w:rtl w:val="0"/>
              </w:rPr>
              <w:t xml:space="preserve"> un </w:t>
            </w:r>
            <w:r w:rsidR="00000000" w:rsidRPr="00000000" w:rsidDel="00000000">
              <w:rPr>
                <w:rtl w:val="0"/>
              </w:rPr>
              <w:t xml:space="preserve">​pielikuma</w:t>
            </w:r>
            <w:r w:rsidR="00000000" w:rsidRPr="00000000" w:rsidDel="00000000">
              <w:rPr>
                <w:rtl w:val="0"/>
              </w:rPr>
              <w:t xml:space="preserve">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MNK punktu ar atsauci uz 48.</w:t>
            </w:r>
            <w:r w:rsidR="00000000" w:rsidRPr="00000000" w:rsidDel="00000000">
              <w:rPr>
                <w:vertAlign w:val="superscript"/>
                <w:rtl w:val="0"/>
              </w:rPr>
              <w:t xml:space="preserve">1</w:t>
            </w:r>
            <w:r w:rsidR="00000000" w:rsidRPr="00000000" w:rsidDel="00000000">
              <w:rPr>
                <w:rtl w:val="0"/>
              </w:rPr>
              <w:t xml:space="preserve"> punktu, ņemot vērā, ka šis punkts regulē nepieciešamo līdzfinansējuma apmēru, ja atbalsts tiek piešķirts balstoties uz Komisijas regulu Nr.2023/2831.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50.2. otrajā projektu iesniegumu atlases kārtā ir zinātniskā institūcija, kas īsteno ar saimniecisku darbību saistītu vai ar saimniecisku darbību nesaistītu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Noradām, ka gadījumos, kad valsts dibināta institūcija īsteno ar saimniecisko darbību saistītu projektu un atbalsts tiek piešķirts atbilstoši Komisijas Regulai Nr.651/2014, tehnoloģiju tiesību aizsardzības izmaksas nav attiecināmas. Saskaņā ar Komisijas Regulu Nr.651/2014 28.pantu tehnoloģiju tiesību aizsardzības izmaksas ir attiecināmas tikai mazajiem un vidējiem uzņēmumiem (MVU), savukārt valsts dibināta zinātniskā institūcijai atbilst liela komersanta statusam.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punktu, skaidri norādot, ka valsts dibinātām zinātniskajām institūcijām ar saimniecisko darbību saistītā projekta tehnoloģiju tiesību aizsardzības izmaksas nav attiecināmas, ja atbalsts tiek piešķirts saskaņā ar Komisijas regulu (ES) Nr. 651/2014.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Tropa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Lēmumu par publiskā finansējuma piešķiršanu ar saimniecisko darbību saistītiem projektiem pieņem līdz Komisijas regulas Nr.  651/2014  58. panta 4. punktā un 59. pantā noteiktajam termiņam vai Komisijas regulas Nr. 2023/2831 7. panta 3. 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72. punktā noteiktais attiecībā uz Komisijas regulu Nr. 2023/2831 nedublē noteikumu projekta 48.24. apakšpunkta 1. teikumā noteikto. Nepieciešamības gadījumā lūdzam svītrot noteikumu projekta 72. punktā noteikto attiecībā uz Komisijas regulu Nr. 2023/2831.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07.11.2025.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07.11.2025.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