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31.01.2024.g.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kurās paredzētajiem noziedzīgajiem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w:t>
            </w:r>
            <w:r w:rsidR="00000000" w:rsidRPr="00000000" w:rsidDel="00000000">
              <w:rPr>
                <w:vertAlign w:val="superscript"/>
                <w:rtl w:val="0"/>
              </w:rPr>
              <w:t xml:space="preserve">5</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noziedzīgas organizācijas izveidošanu, vadīšanu, iesaistīšanos tajā vai tās sastāvā ietilpstošā organizētā grupā vai citā noziedzīgā formējumā vai piedalīšanos šādas organizācijas izdarītos noziedzīgos nodarījumos (Krimināllikuma 89.</w:t>
            </w:r>
            <w:r w:rsidR="00000000" w:rsidRPr="00000000" w:rsidDel="00000000">
              <w:rPr>
                <w:vertAlign w:val="superscript"/>
                <w:rtl w:val="0"/>
              </w:rPr>
              <w:t xml:space="preserve">1</w:t>
            </w:r>
            <w:r w:rsidR="00000000" w:rsidRPr="00000000" w:rsidDel="00000000">
              <w:rPr>
                <w:rtl w:val="0"/>
              </w:rPr>
              <w:t xml:space="preserve"> pants un 184.panta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cilvēku tirdzniecību (Krimināllikuma 154.</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norādīts, ka persona nevar būt sodīta par apdrošināšanas krāpšanu (Krimināllikuma 178.pants).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