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trešās kārtas projektu plānotais un pieejamais kopējais finansējums ir 51 258 054 euro, tai skaitā Eiropas Reģionālās attīstības fonda finansējums 43 569 346 euro un valsts budžeta līdzfinansējums 7 688 708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 punktu, nosakot, ka plānotais un pieejamais kopējais finansējums ir 51 258 053 euro, t.sk. Eiropas Reģionālās attīstības fonda finansējums ir 43 569 345 euro un valsts budžeta līdzfinansējums 7 688 708 euro, nodrošinot, ka Eiropas Reģionālās attīstības fonda atbalsta intensitāte nepārsniedz 85% un vienlaikus arī pasākuma 3.kārtai sākotnēji plānoto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par pasākuma 3.kārtai nosakāmo elastības finansējumu, ņemot vērā, ka pasākuma 3. kārtas īstenošanai ir paredzēts elastības finansējums. Papildus vēršam uzmanību, ka pasākuma 5. kārtai plānotais finansējums nenosedz visu pasākumam kopumā piemērojamo elastības finansējumu, attiecīgi aicinām pārskatīt un nepieciešamības gadījumā precizēt, kuru kārtu ietvaros elastības finansējums tiks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noteikumu projekta 7. punktā noteikto, lūdzam papildināt noteikumu projekta 1.3. apakšpunktu aiz vārda "kārtai" ar vārdiem "plānoto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rādītājs – investīcijas jaunās vai jauninātās katastrofu monitoringa, gatavības, brīdinājuma un reaģēšanas sistēmās attiecībā uz dabas katastrofām sasniedz 51 258 054 euro, iznākuma rādītāja starpposma vērtība 2024. gada 31.decembrī sasniedz 735 278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 apakšpunktu, nosakot līdz 2029. gada 31. decembrim  sasniedzamo iznākuma rādītāja vērtību 51 258 053 euro,  ņemot vērā pasākuma 3.kārtai plānoto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Iekšlietu ministrijas ierosinātos grozījumu priekšlikumus Eiropas Savienības kohēzijas politikas programmā 2021.–2027.gadam (programma), paredzot starpposma vērtības samazināšanu, lūdzam papildināt protokollēmumu ar Iekšlietu ministrijas kā atbildīgās iestādes rīcību gadījumā, ja grozījumi programmā netiks apstiprināti. Attiecīgi, informācijas izsekojamībai, aicinām papildināt arī anotāciju. Vienlaikus aicinām iesūtīt Finanšu ministrijai aktuālo specifiskā atbalsta mērķa rādītāju metodoloģijas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Sadarbības partnera funkcijas tiek noteiktas finansējuma saņēmēja un sadarbības partnera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skaidri noteikt finansējuma saņēmēja pienākumu slēgt sadarbības līgumu ar sadarbības partneri. Papildus vēršam uzmanību, ka, ja tiek slēgts sadarbības līgums, noteikumu projektā ir jāatrunā tā galvenie aspekti (atbildība, funkcijas utt.), vienlaikus nedublējot Ministru kabineta 2023. gada 13. jūlija noteikumu Nr. 408 "Kārtība, kādā Eiropas Savienības fondu vadībā iesaistītās institūcijas nodrošina šo fondu ieviešanu 2021.-2027. gada plānošanas periodā" 6. punktā ietvertos nosacījumus par sadarbības līgumā iekļaujamo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personāla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20.6. apakšpunktu ar norādi, kāda personāla nodrošināšana 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Trešās kārtas projektu īstenošanas un uzraudzības nodrošināšanai paredzēts ārpakalpojums inženierkonsultantu grupas piesaistei.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23.punktā ir domāti noteikumu projekta 20.7.apakšpunktā minētie inženierkonsultanti un eksperti. Aicinām izvērtēt nepieciešamību noteikumu projekta 23.punktu papildināt ar atsauci uz noteikumu projekta 20.7.apakšpunktu.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20. punktā minēto projektu īstenošanai ir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vadlīnijas attiecināmo izmaksu noteikšanai Eiropas Savienības kohēzijas politikas programmas 2021.-2027.gada plānošanas periodā nosaka,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iepriekš uzskaitītās izmaksu pozīcijas ir attiecināmas līdz 10% no projekta kopējām attiecināmajām izmaksām. Jaunajā punktā lūdzam iekļaut visu MK noteikumu apakšpunktu atsauces, kur ir iepriekš uzskaitītās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ar projekta vadības un īstenošanas nodrošināšanu saistītās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25.6.punktu, norādot, kādas izmaksas šeit paredzētas, nepieciešamības gadījumā atsaucoties uz konkrētu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projektu vadības un īstenošanas personāla izmaksas, kuras saskaņā ar Regulas Nr. 2021/1060 55. panta 1. punktu plāno kā vienu izmaksu pozīciju, piemērojot vienoto izmaksu likmi 6 procentu apmērā no projektu pārējām tiešajām attiecināmajām izmaksām, bet neieskaitot tiešās attiecināmās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vadības un īstenošanas personāla likmes apmērs vēl nav saskaņots ar vadošo iestādi, līdz ar to šobrīd nevaram saskaņot personāla izmaksu likme apmēru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pasākuma ietvaros tiek paredzēta publiskā finansējuma piešķiršana 3.kārtas ietvaros, lūdzam papildināt anotāciju ar informāciju, vai 2.1.3.3.pasākuma 3.kārtas ietvaros finansējuma saņēmēji – VUGD un NVA, īstenos projektus, kas ir/nav saistīti ar saimnieciskās darbības veikšanu un vai 2.1.3.3.pasākuma 3.kārtas ietvaros īstenojamās darbības ir/nav kvalificējamas kā saimnieciskā darbība, jo pašlaik anotācijā ir iekļauta informācija tikai par pasākuma 1.kārtu. Tāpat lūdzam papildināt anotāciju ar informāciju, vai projekta ietvaros projekta iesniedzējiem – VUGD un NVA, noteiktie pienākumi izriet no to funkcijām, tai skaitā, kurā dokumentā ir nolasāms deleģējums veikt konkrētās aktivitātes. Skaidrojam, ka gadījumā, ja projekta ietvaros projekta iesniedzējiem noteiktie pienākumi neizriet no tiem uzlikta valsts pārvaldes uzdevuma, atbalsts tiem ir vērtējams komercdarbības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pasākuma trešās kārtas īstenošanas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apakšpunktu, ņemot vērā, ka minētā norma dublē noteikumu projekta 1.1.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Maksimālais attiecināmais Eiropas Reģionālās attīstības fonda finansējuma apmērs nepārsniedz 85 procentus no šo noteikumu 7. punktā minētā Eiropas Reģionālās attīstības fonda un valsts budžeta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norādot, ka Eiropas Reģionālās attīstības fonda finansējuma apmērs nepārsniedz 85 procentus no projekta kopējā attiecināmā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Burova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nacionālais rezultāta rādītājs – ieviestas drošības klases piecos reģionos un divu ēku nodošana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minētos nacionālos rādītājus izdalīt atsevišķos apakšpunktos, norādot to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nodrošināt telpu pielāgošanai nepieciešamo projektēšanas, būvdarbu un būvuzraudzības darbu izpildes vadību un norēķinus ar būvniecībā, autoruzraudzībā un būvuzraudzībā nolīgtajiem izpildītājiem;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anotāciju paredzēts izveidot 5 pārvietojamās drošības klases, pārveidojot transportlīdzekļus. Ierosinām arī šo darbu izpildes vadību atrunāt sadarbības līgumā, ja to arī nodrošinās sadarbības partneris.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“Ugunsdrošības un civilās aizsardzības koledžas profesionālās izglītības iestādes kompleksa būvniecības 1.kārta” un “Ugunsdzēsības, loģistikas un remonta bāzes kompleksa būvniecība” paredzētas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norādīt atbalstāmās darbības, kas nodrošina pasākuma 3.kārtas mērķa un rādītāju sasniegšanu, nesadalot detalizēti jau pēc izdevumu grupām, labojot 20.punkta apakšpunktus un papildinot arī 20.punktu.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Projektos par “Ugunsdrošības un civilās aizsardzības koledžas profesionālās izglītības iestādes kompleksa būvniecības 1.kārta” un “Ugunsdzēsības, loģistikas un remonta bāzes kompleksa būvniecība” iekļauj šādas atbalstāmās darbības, kas sekmē šo noteikumu 2. punktā minētā pasākuma 3.kārtas mērķa un šo noteikumu 9. punktā minēto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Jaunas ēkas būvniecība efektīvu, modernu un starptautiskajā pieredzē balstītu teorētisko un praktisko nodarbību apmācību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Jaunu ēku būvniecība VUGD tehnikas, remonta bāzes un Iepirkuma nodrošinājuma pārvaldes loģistikas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Projektu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Publicitātes pasākumi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“Drošības klašu izveide”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norādīt atbalstāmās darbības, kas nodrošina pasākuma 3.kārtas mērķa un rādītāju sasniegšanu, nesadalot detalizēti jau pēc izdevumu grupām, labojot 21.punkta apakšpunktus un papildinot arī 21.punktu.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Projektā “Drošības klašu izveide” iekļauj šādas atbalstāmās darbības, kas sekmē šo noteikumu 2.punktā minētā pasākuma 3.kārtas mērķa un šo noteikumu 9.punktā minēto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Ēkas telpu pielāgošana stacionāras drošības klases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Transportlīdzekļu pārveidošana pārvietojamu drošības klašu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vadības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Trešās kārtas projektiem ir paredzēti publicitātes pasākumi par projektu īstenošanu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pantam un kārtībai,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punktu, ņemot vērā, ka tas dublē noteikuma projekta 33.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Trešās kārtas projektu īstenošanas un uzraudzības nodrošināšanai paredzēts ārpakalpojums inženierkonsultantu grupas piesaistei.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kāda loma būs inženierkonsultantu grupai projekta īstenošanā un uzraudzībā. No anotācijas izriet, ka minētā grupa konsultēs Nodrošinājuma valsts aģentūras (turpmāk - NVA) darbiniekus. Lūdzam precizēt, vai minētās grupas piesaiste paredzēta visos trīs projektos, kur finansējuma saņēmējs ir arī Valsts ugunsdzēsības un glābšanas dienests, vai tikai projektos, kur NVA ir finansējuma saņēmējs. Vēršam uzmanību, ka atbilstoši Eiropas Savienības fondu 2021-2027. gada plānošanas perioda vadības likuma 18. panta pirmās daļas 2. punktam </w:t>
            </w:r>
            <w:r w:rsidR="00000000" w:rsidRPr="00000000" w:rsidDel="00000000">
              <w:rPr>
                <w:u w:val="single"/>
                <w:rtl w:val="0"/>
              </w:rPr>
              <w:t xml:space="preserve">projekta īstenošanu nodrošina finansējuma saņēmējs</w:t>
            </w:r>
            <w:r w:rsidR="00000000" w:rsidRPr="00000000" w:rsidDel="00000000">
              <w:rPr>
                <w:rtl w:val="0"/>
              </w:rPr>
              <w:t xml:space="preserve"> saskaņā ar Eiropas Savienības un Latvijas Republikas normatīvajiem aktiem un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20. punktā minēto projektu īstenošanai ir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MK noteikumu projekta 24.punktā, gan MK noteikumu projekta 25.punktā izvērtēt vienkāršoto izmaksu iespējami plašāku piemērošanu arī citām izmaksu pozīcijām (ne tikai personāla izmaksām).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izmaksas, kas saistītas ar tehniskās apsekošanas, būvniecības izmaksu tāmes, būvprojekta, būvdarbu ieceres dokumentācijas, būvprojekta minimālā sastāvā, apliecinājuma kartes izstrādāšanu, kā arī būvprojekta ekspertīzes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būvju tehnisko apsekošanu un izpēti, būvniecības ieceres dokumentācijas izstrādi un būvprojekta ekspertīzi, ja to paredz normatīvie akti būvniecībā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projekta būvuzraudzības un autoruzraudzības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tekstu, ņemot vērā 23.punktā paredzēto par inženierkonsultantu grupas iesaisti, kas, kā saprotams no anotācijas, nodrošinās arī būvuzraudzību.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būvuzraudzības (tai skaitā inženiertehniskās uzraudzības) un autoruzraudzības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būvdarbu izmaksas, būvniecības jomu regulējošos normatīvajos aktos noteiktās būvdarbu veicēja civiltiesiskās atbildības apdrošināšanas, būvniecības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papildinot un dzēšot tekstu par būvdarbu apdrošināšanas izmaksām, jo šīs izmaksas tiek iekļautas būvdarbu virsizdevumos atbilstoši LBN 501-17 "Būvizmaksu noteikšanas kārtība": virsizdevumi – papildu izmaksas, kuras saistītas ar būvlaukuma iekārtošanu, uzturēšanu, būvdarbu organizēšanu, vadīšanu, darba aizsardzību un apdrošināšanu, citas ar būvdarbu realizāciju saistītas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ar to saistītās infrastruktūras un teritorijas labiekārtošanas izbūves un pārbūves būvdarbu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būvniecības un ar to saistītās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tekstu atbilstoši anotācijā norādītajai informācijai par muzeja ēkas telpu pielāgošanu.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telpu pielāgošanas būvdarbi un ar to saistītās tiešās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dokumentācijas, būvprojekta, būvuzraudzības un autoruzraudzības, būvdarbu un ar tiem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atsevišķi izdalot punktu par būvuzraudzību un autoruzraudzību.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būvniecības ieceres dokumentācijas izstrādi telpu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Būvuzraudzības (tai skaitā inženiertehniskās uzraudzības) un autoruzraudzības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Visiem trešās kārtas projektiem ir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MK noteikumu tekstā, kur attiecināms, izmantot terminoloģiju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projektu darbībām tieši saistīto publicitātes un vizuālās identitātes pasākumu izmaksas, kas veiktas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26.1. apakšpunktā minētie normatīvie akti un vadlīnijas neparedz komunikācijas un vizuālās identitātes </w:t>
            </w:r>
            <w:r w:rsidR="00000000" w:rsidRPr="00000000" w:rsidDel="00000000">
              <w:rPr>
                <w:u w:val="single"/>
                <w:rtl w:val="0"/>
              </w:rPr>
              <w:t xml:space="preserve">prasību nodrošināšanas izmaksas</w:t>
            </w:r>
            <w:r w:rsidR="00000000" w:rsidRPr="00000000" w:rsidDel="00000000">
              <w:rPr>
                <w:rtl w:val="0"/>
              </w:rPr>
              <w:t xml:space="preserve">, bet </w:t>
            </w:r>
            <w:r w:rsidR="00000000" w:rsidRPr="00000000" w:rsidDel="00000000">
              <w:rPr>
                <w:u w:val="single"/>
                <w:rtl w:val="0"/>
              </w:rPr>
              <w:t xml:space="preserve">šo prasību saturu</w:t>
            </w:r>
            <w:r w:rsidR="00000000" w:rsidRPr="00000000" w:rsidDel="00000000">
              <w:rPr>
                <w:rtl w:val="0"/>
              </w:rPr>
              <w:t xml:space="preserve">, turklāt noteikumu projekta 33. punktā ir ietverts finansējuma saņēmēja pienākums nodrošināt šo prasību ievērošanu atbilstoši minētajiem normatīvajiem aktiem un vadlīnijām. Ievērojot minēto, rosinām svītrot noteikumu projekta 26.1. apakšpunktā vārdus un skaitļus “kas veiktas saskaņā ar Regulas Nr. 2021/1060 47. pantam un 50. pantam un kārtību, kādā ES fondu vadībā iesaistītās institūcijas nodrošina šo fondu ieviešanu 2021.–2027. gada plānošanas periodā, kā arī Eiropas Savienības fondu 2021.–2027. gada plānošanas perioda un Atveseļošanas fonda komunikācijas un dizaina vadlīnijām.” Attiecīgi precizējot 33.punktu.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20. un 21. punktā minētās darbības tiek veiktas, finansējuma saņēmējam un sadarbības partnerim izvēloties preču piegādātājus un pakalpojumu sniedzējus saskaņā ar normatīvajiem aktiem publisko iepirkumu jomā, īstenojot atklātu, pārredzamu, nediskriminējošu un konkurenci nodrošinošu procedūru.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27.punktu, jo noteikumu projekta 21.punktā arī ir paredzētas projekta vadības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 punktu aiz vārdiem "ietvertajiem nosacījumiem" ar vārdiem ", ja tas nav atgūstams atbilstoši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Izmaksu attiecināmības termiņš ir no 2023. gada 1. oktobra.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sēdes protokollēmuma projektu, ņemot vērā, ka, projekta izmaksas paredzēts attiecināt no noteikumu projekta spēkā stāšanās dienas vai pirms tam, un finansējuma saņēmējs ir valsts budžeta iestāde, norādot plānoto finanšu plūsmas pirms projekta apstiprināšanas nodrošināšanas nosacījumus, kā arī atbildīgās iestādes pienākumus un atbildību gadījumos, ja pirms projekta apstiprināšanas radušās izmaksas nav attiecināmas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ka pasākuma ietvaros plānotās izmaksas nepārklātos ar citiem valsts un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 punktu, nosakot, ka finansējuma saņēmējs nodrošina arī dubultā finansējuma neiestāšanos.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projektus, finansējuma saņēmējs nodrošina informācijas un publicitātes pasākumus saskaņā ar Regulas Nr. 2021/1060 47. un 50. pantu un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33. punktu, ka arī sadarbības partnerim ir pienākums ievērot noteikumu projekta 33. 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pienākums pirms trešās projektu iesniegumu atlases kārtas izsludināšanas izstrādāt kārtību, kādā tiks nodrošināta interešu konflikta neesamība,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papildināt noteikumu projekta 34. punktu, ka finansējuma saņēmējs izstrādā kārtību, kādā tiks nodrošināta arī krāpšanas un korupcijas risku neesamība.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pienākums pirms trešās projektu iesniegumu atlases kārtas izsludināšanas izstrādāt kārtību, kādā tiks nodrošināta interešu konflikta, krāpšanas un korupcijas risku neesamība, identificēti apstākļi, kuri izraisa vai var izraisīt interešu konfliktu un krāpšanas un korupcijas riskus, kas rada apdraudējumu vai kaitējumu projektu īstenošanai, noteikti veicamie pasākumi un izstrādāti darbības plāni interešu konflikta un krāpšanas un korupcijas risku preventīvai novēršanai un gadījumiem, kad interešu konflikts, krāpšana vai korupcija ir atklāta.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sadarbības partneris paraksta interešu konflikta neesamības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35. punktu, paredzot, ka finansējuma saņēmējs un sadarbības partneris paraksta interešu konflikta neesamības apliecinājumu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saņēmēja pienākums ir publiskos iepirkumus veikt saskaņā ar normatīvajiem aktiem publisko iepirkumu jomā, īstenojot konkurenci nodrošinošu, pārredzamu, atklātu, nediskriminējošu konkursa procedūru un, kur tas ir attiecināms, īstenojot sociāli atbildīgus un inovatīvus iepirkumus.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36. punkts daļēji nedublē noteikumu projekta 27. punktu. Papildus vēršam uzmanību, ka noteikumu projekta 36. punktā minētais pienākums ir attiecināms arī uz sadarbības partneri, ja ir plānots, ka sadarbības partneris veiks publiskos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Īpašuma tiesības uz nekustamajiem īpašumiem, kuros plānots veikt ieguldījumus, ir nostiprinātas zemesgrāmatā uz valsts vārda Iekšlietu ministrijas personā vai uz ilgtermiņa nomas līguma pamata tie ir nodoti finansējuma saņēmēja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ar informāciju par īpašumtiesībām transportlīdzekļiem, kurus plānots pārveidot par mobilajām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Burova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faktiski sasniegtajiem šo noteikumu 9. punktā minētajiem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kārtību, kādā finansējuma saņēmējs ziņo par noteikumu projekta 9.2.punktā norādīto nacionālo rādītāju, kā arī lūdzam norādīt, kurā brīdī nacionālais rādītājs tiek uzskatīts par sasniegtu. Ja datus par nacionālo rādītāju nav paredzēts uzkrāt Kohēzijas politikas fondu vadības informācijas sistēmā, lūdzam to definēt kā papildus uzkrājamo informāciju, nevis kā nacionālo rādītāju. Ja minēto informāciju ir plānots uzkrāt Kohēzijas politikas fondu vadības informācijas sistēmā, lūdzam anotācijā norādīt, ka Sadarbības iestāde neveic datu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nozares/jomas pārstāvošu biedrību, nodibinājumu, nevalstisko organizāciju  iesaisti normatīvā akta izstrādes procesā. Vienlaikus vēršam uzmanību un ņemt vērā arī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pasākuma 3. kārtas intervences kodam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nodaļā "Projektu īstenošanas nosacījumi" papildināt anotācijas aprakstu, norādot, kad ir paredzēta “Ugunsdrošības un civilās aizsardzības koledžas profesionālās izglītības iestādes kompleksa būvniecība" būvniecības 2.kārta.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Burova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par drošības klašu adresēm, ņemot vērā to, ka plānotas kopā 6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Fokina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norādi, ka Iekšlietu ministrija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ietvaros paredzēts veikt kapitālieguldījumus (Ugunsdrošības un civilās aizsardzības koledžas profesionālās izglītības iestādes kompleksa būvniecība, ugunsdzēsības, loģistikas un remonta bāzes kompleksa būvniecība, drošības klašu izveide), lūdzam papildināt anotācijas 3. sadaļu, norādot, vai un kādā apmērā  pēc projektu pabeigšanas būs nepieciešams finansējums projektu ietvaros uzbūvēto ēku un iekārtoto telpu uzturēšanas izdevumu segšanai, pamatojot tos ar detalizētiem aprēķiniem, nepieciešamības gadījumā precizējot ietekmes tabulu, kā arī norādot potenciālo laiku (gadu), ar kuru tie 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kārtību, kādā tiek veikta līdzekļu pārdale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nosaka citi normatīvie akti, nav nepieciešams šīs normas dublēt, līdz ar to lūdzam svītrot MK sēdes protokollēmuma projekta 3. punktu, informāciju par tajā noteikto paskaidrojot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23.11.2023.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23-TA-1081</w:t>
    </w:r>
    <w:r>
      <w:br/>
    </w:r>
    <w:r w:rsidR="00000000" w:rsidRPr="00000000" w:rsidDel="00000000">
      <w:rPr>
        <w:rtl w:val="0"/>
      </w:rPr>
      <w:t xml:space="preserve">Izdrukāts 23.11.2023.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Atzinumi_23-TA-1081.docx</dc:title>
</cp:coreProperties>
</file>

<file path=docProps/custom.xml><?xml version="1.0" encoding="utf-8"?>
<Properties xmlns="http://schemas.openxmlformats.org/officeDocument/2006/custom-properties" xmlns:vt="http://schemas.openxmlformats.org/officeDocument/2006/docPropsVTypes"/>
</file>