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30. maija noteikumos Nr. 295 "Noteikumi par transportlīdzekļu valsts tehnisko apskati un tehnisko kontroli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Tirdzniecības un rūpniecības kamera"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Pielikuma saturu skatīt dokumentā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Saistībā ar novecojušām prasībām šo Ministru kabineta noteikumu 1. pielikumā, kas attiecas uz papildu tālo gaismu izmantošanu, ierosinām veikt sekojošas izmaiņas: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1. pielikuma “Prasības transportlīdzekļu tehniskajam stāvoklim un aprīkojumam, prasību izpildes novērtēšana un pārbaudes metodes” 4.1.4. punkta “Atbilstība sertifikācijas prasībām” A1. apakšpunktu izteikt jaunā redakcijā: “Automobiļiem drīkst uzstādīt vienu </w:t>
            </w:r>
            <w:r w:rsidR="00000000" w:rsidRPr="00000000" w:rsidDel="00000000">
              <w:rPr>
                <w:b w:val="1"/>
                <w:rtl w:val="0"/>
              </w:rPr>
              <w:t xml:space="preserve">vai vairākus</w:t>
            </w:r>
            <w:r w:rsidR="00000000" w:rsidRPr="00000000" w:rsidDel="00000000">
              <w:rPr>
                <w:rtl w:val="0"/>
              </w:rPr>
              <w:t xml:space="preserve"> papildu tālās gaismas </w:t>
            </w:r>
            <w:r w:rsidR="00000000" w:rsidRPr="00000000" w:rsidDel="00000000">
              <w:rPr>
                <w:b w:val="1"/>
                <w:rtl w:val="0"/>
              </w:rPr>
              <w:t xml:space="preserve">lukturus.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b w:val="1"/>
                <w:rtl w:val="0"/>
              </w:rPr>
              <w:t xml:space="preserve">Drīkst uzstādīt kā vienu</w:t>
            </w:r>
            <w:r w:rsidR="00000000" w:rsidRPr="00000000" w:rsidDel="00000000">
              <w:rPr>
                <w:rtl w:val="0"/>
              </w:rPr>
              <w:t xml:space="preserve"> tālās gaismas lukturi ar gaismu izstarojošu virsmu vismaz </w:t>
            </w:r>
            <w:r w:rsidR="00000000" w:rsidRPr="00000000" w:rsidDel="00000000">
              <w:rPr>
                <w:b w:val="1"/>
                <w:rtl w:val="0"/>
              </w:rPr>
              <w:t xml:space="preserve">320 mm</w:t>
            </w:r>
            <w:r w:rsidR="00000000" w:rsidRPr="00000000" w:rsidDel="00000000">
              <w:rPr>
                <w:rtl w:val="0"/>
              </w:rPr>
              <w:t xml:space="preserve"> garas joslas veidā, kas novietots simetriski attiecībā pret transportlīdzekļa vidējo garenplakni.”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 1. pielikuma 4.1.3. punkta “Slēgums” A2. apakšpunktu izteikt jaunā redakcijā: “Tālās gaismas režīmā vienlaikus ieslēgto galveno lukturu marķējumā norādīto gaismas stipruma kontrolskaitļu summa nedrīkst pārsniegt </w:t>
            </w:r>
            <w:r w:rsidR="00000000" w:rsidRPr="00000000" w:rsidDel="00000000">
              <w:rPr>
                <w:b w:val="1"/>
                <w:rtl w:val="0"/>
              </w:rPr>
              <w:t xml:space="preserve">250 vienības</w:t>
            </w:r>
            <w:r w:rsidR="00000000" w:rsidRPr="00000000" w:rsidDel="00000000">
              <w:rPr>
                <w:rtl w:val="0"/>
              </w:rPr>
              <w:t xml:space="preserve">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Paula Šimkuse (LTRK)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</w:t>
    </w:r>
    <w:r>
      <w:br/>
    </w:r>
    <w:r w:rsidR="00000000" w:rsidRPr="00000000" w:rsidDel="00000000">
      <w:rPr>
        <w:rtl w:val="0"/>
      </w:rPr>
      <w:t xml:space="preserve">Izdrukāts 11.08.2023. 20.38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</w:t>
    </w:r>
    <w:r>
      <w:br/>
    </w:r>
    <w:r w:rsidR="00000000" w:rsidRPr="00000000" w:rsidDel="00000000">
      <w:rPr>
        <w:rtl w:val="0"/>
      </w:rPr>
      <w:t xml:space="preserve">Izdrukāts 11.08.2023. 20.38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