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24-TA-1754: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atbilstības novērtēšanu"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w:t>
            </w:r>
            <w:r w:rsidR="00000000" w:rsidRPr="00000000" w:rsidDel="00000000">
              <w:rPr>
                <w:vertAlign w:val="superscript"/>
                <w:rtl w:val="0"/>
              </w:rPr>
              <w:t xml:space="preserve">11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apmaiņai par precēm, kas rada nopietnu risku, tirgus uzraudzības iestādes izmanto regulas Nr. 2023/988 25. pantā minēto ātrās brīdināšanas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centrs nodrošina regulā Nr.2023/988 noteiktās vienotā sadarbības biroja un ātrās brīdināšanas sistēmas nacionālā kontaktpunkta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tirgus uzraudzības iestādes informē Patērētāju tiesību aizsardzības centru par veiktajiem pasākumiem, kas ierobežo vai liedz preču laišanu apgrozībā, un kārtību, kādā Patērētāju tiesību aizsardzības centrs saņemto informāciju nosūta Eiropas Komisijai un rīkojas ar informāciju, kas saņemta no Eiropas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5.pants paredz papildināt likumu ar 9</w:t>
            </w:r>
            <w:r w:rsidR="00000000" w:rsidRPr="00000000" w:rsidDel="00000000">
              <w:rPr>
                <w:vertAlign w:val="superscript"/>
                <w:rtl w:val="0"/>
              </w:rPr>
              <w:t xml:space="preserve">11</w:t>
            </w:r>
            <w:r w:rsidR="00000000" w:rsidRPr="00000000" w:rsidDel="00000000">
              <w:rPr>
                <w:rtl w:val="0"/>
              </w:rPr>
              <w:t xml:space="preserve">. pantu, kura trešajā daļā tiek lietots no Preču un pakalpojumu drošuma likuma pārņemts apzīmējums „laišana apgrozībā”, kura nozīme kā terminam nav definēta. Tā kā tirgus uzraudzības iestādēm, tostarp Veselības inspekcijai, ar šo normu tiks noteikts pienākums informēt Patērētāju tiesību aizsardzības centru par veiktajiem pasākumiem, kas ierobežo vai liedz preču laišanu apgrozībā, tad ir nepieciešams, lai būtu skaidra šī termina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Preču un pakalpojumu drošuma likums zaudēs spēku un preču drošumu turpmāk regulēs regula Nr.2023/988, tad būtu jāizmanto regulā definēti termini. Pašlaik nav skaidrs, kura regulas termina ekvivalents ir domāts ar apzīmējumu „laist apgrozībā”. Līdz ar to uzraudzības iestādei nav skaidrs vai pienākums informēt attiecas uz veiktajiem pasākumiem ar kuriem ierobežo vai liedz preci “darīt pieejamu tirgū” vai preci „laist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attiecībā uz tirgus uzraudzību izmantot likumā terminus, kas definēti regulā Nr.2023/988 vai regulā (ES) 2019/1020 par tirgus uzraudzību un produktu atbilstību. Ja tiek izmantoti termini, kas nav definēti regulās, tie ir jādefinē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Polukarova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tāda pienākuma nodrošināt preču atbilstību noteiktām prasībām nepildīšanu, laižot tirgū, piedāvājot vai pārdodot preci, kas noteikts šā likuma 4. panta otrajā daļā minētā normatīvajā aktā vai Eiropas Savienības tiesību aktā, pieļaujot varbūtību, ka radīsies apdraudējums, kurš izraisīs kaitējumu, piemēro naudas sodu fiziskajai personai no četrpadsmit līdz simt četrdesmit naudas soda vienībām, bet juridiskajai personai — no četrdesmit līdz tūkstoš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19. panta septīto daļu aiz vārda „nepildīšanu” papildināt ar vārdiem „preču izplatīšanas kārtības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anotācijā sniegt skaidrojumu par jaunu nosacījumu noteikšanu 19. pantā attiecībā uz sodu piemērošanu par administratīvo pārkāpumu, salīdzinājumā ar iepriekšējo redakciju. Vai no precizētās redakcijas izriet, ka soda piemērošanai kontrolējošai iestādei  ir jānovērtē vai neatbilstība „rada risku par apdraudējumu, kurš izraisīs kaitējumu” un iestāde nevar piemērot sodu par konstatēto neatbilstību prasībām bez šāda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Polukarova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gāzes balonu laišanu tirgū, piedāvāšanu vai pārdošanu, neveicot tiem tehnisko novērtējumu, vai par saskaņā ar šā likuma 9</w:t>
            </w:r>
            <w:r w:rsidR="00000000" w:rsidRPr="00000000" w:rsidDel="00000000">
              <w:rPr>
                <w:vertAlign w:val="superscript"/>
                <w:rtl w:val="0"/>
              </w:rPr>
              <w:t xml:space="preserve">12</w:t>
            </w:r>
            <w:r w:rsidR="00000000" w:rsidRPr="00000000" w:rsidDel="00000000">
              <w:rPr>
                <w:rtl w:val="0"/>
              </w:rPr>
              <w:t xml:space="preserve">. pantā noteiktu speciālo prasību un preču aprites kārtības neievērošanu, piemēro naudas sodu fiziskajai personai no desmit līdz simt četrdesmit naudas soda vienībām, bet juridiskajai personai — no četrdesmit līdz tūkstoš četrsimt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attiecināt uz Veselības inspekcijas kompetenci aprites kārtību, kas minēta 19. panta astotajā daļā attiecībā uz gāzes baloniem, tas rada neskaidrības un pārpratumu iespējas visām iesaistītajām pusēm, kā komersantiem, tā plašai sabiedrībai un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atsevišķās likumprojekta daļās to, kas attiecas uz gāzes baloniem vienā daļā un citā daļā par preču aprites kārtības neievērošanu.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Polukarova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pirmajā daļā izslēgt vārdus “otrajā” un vārdus "un trešajā" aizstāt ar vārdiem "trešajā, sestajā, septītajā, astotajā, devītajā un desmitajā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Veselības inspekcijas kompetenci veikt administratīvā pārkāpuma procesu pilnībā paredz 20.panta ceturtā daļa un attiecīgi lūdzam izslēgt Veselības inspekciju no 20.panta pirmās daļas, lai novērstu neskaidrības un interpretācijas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pārkāpuma procesu par šā likuma 19. panta pirmajā, trešajā, sestajā, septītajā, devītajā, desmitajā un vienpadsmitajā daļā minētajiem pārkāpumiem veic Veselības inspekcija.".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Polukarova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24-TA-1754</w:t>
    </w:r>
    <w:r>
      <w:br/>
    </w:r>
    <w:r w:rsidR="00000000" w:rsidRPr="00000000" w:rsidDel="00000000">
      <w:rPr>
        <w:rtl w:val="0"/>
      </w:rPr>
      <w:t xml:space="preserve">Izdrukāts 03.02.2025.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24-TA-1754</w:t>
    </w:r>
    <w:r>
      <w:br/>
    </w:r>
    <w:r w:rsidR="00000000" w:rsidRPr="00000000" w:rsidDel="00000000">
      <w:rPr>
        <w:rtl w:val="0"/>
      </w:rPr>
      <w:t xml:space="preserve">Izdrukāts 03.02.2025.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Atzinumi_24-TA-1754.docx</dc:title>
</cp:coreProperties>
</file>

<file path=docProps/custom.xml><?xml version="1.0" encoding="utf-8"?>
<Properties xmlns="http://schemas.openxmlformats.org/officeDocument/2006/custom-properties" xmlns:vt="http://schemas.openxmlformats.org/officeDocument/2006/docPropsVTypes"/>
</file>