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22-TA-3304: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21. jūnija noteikumos Nr. 377 "Noteikumi par garantiju programmu pret Ukrainu vērstās Krievijas militārās agresijas radīto ekonomisko seku mazināšanai"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(Programmas “Garantijas Krievijas militārās agresijas pret Ukrainu radīto seku uz ekonomiku mazināšanai” rādītāju novērtējums)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2022. gada 21. jūnija noteikumos Nr. 377 "Noteikumi par garantiju programmu pret Ukrainu vērstās Krievijas militārās agresijas radīto ekonomisko seku mazināšanai""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tiesību akta lietā pievienoto papildu dokumentu "Programmas “Garantijas Krievijas militārās agresijas pret Ukrainu radīto seku uz ekonomiku mazināšanai” rādītāju novērtējums", aicinām izvērtēt nepieciešamību attiecīgi papildināt Ministru kabineta sēdes protokollēmuma projektu ar attiecīga satura punktu, kas paredz novērtējumu pieņemt zināšanai.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Kopumā atbalsts, kas piešķirts saimnieciskās darbības veicējam šo noteikumu ietvaros, nevienā brīdī nedrīkst pārsniedz šo noteikumu 11. punktā noteikto maksimālo atbalsta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nav pilnīgi skaidra 11.</w:t>
            </w:r>
            <w:r w:rsidR="00000000" w:rsidRPr="00000000" w:rsidDel="00000000">
              <w:rPr>
                <w:vertAlign w:val="superscript"/>
                <w:rtl w:val="0"/>
              </w:rPr>
              <w:t xml:space="preserve">1</w:t>
            </w:r>
            <w:r w:rsidR="00000000" w:rsidRPr="00000000" w:rsidDel="00000000">
              <w:rPr>
                <w:rtl w:val="0"/>
              </w:rPr>
              <w:t xml:space="preserve"> punkta nepieciešamība, ņemot vērā citos noteikumu punktos (piemēram, 11. un 13. punktā) jau noteikto, kā arī piemērošana kopsakarā ar citiem noteikumu punktiem (piemēram, 11., 12. un 13.). Nav arī pilnīgi skaidrs, kā tieši (turklāt daļēji vai pilnīgi) 11.</w:t>
            </w:r>
            <w:r w:rsidR="00000000" w:rsidRPr="00000000" w:rsidDel="00000000">
              <w:rPr>
                <w:vertAlign w:val="superscript"/>
                <w:rtl w:val="0"/>
              </w:rPr>
              <w:t xml:space="preserve">1</w:t>
            </w:r>
            <w:r w:rsidR="00000000" w:rsidRPr="00000000" w:rsidDel="00000000">
              <w:rPr>
                <w:rtl w:val="0"/>
              </w:rPr>
              <w:t xml:space="preserve"> punktā tiek pārņemts Komisijas 2022. gada 28. oktobra paziņojuma "Krīzes pagaidu regulējums valsts atbalsta pasākumiem, ar ko atbalsta ekonomiku pēc Krievijas agresijas pret Ukrainu" 84. punkts. Attiecīgi lūdzam izvērtēt un sniegt izvērstākus skaidrojumus anotācijā vai nepieciešamības gadījumā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11. punktā minēto kopējo garantijas summu atbilstoši saimnieciskās darbības veicēja sniegtajam apliecinājumam var palielināt, lai segtu likviditātes vajadzības, no atbalsta piešķiršanas brīža turpmākajiem 12 mēnešiem sīkajam (mikro), mazajam un vidējam saimnieciskās darbības veicējam un turpmākajiem sešiem mēnešiem lielajam saimnieciskās darbības veicējam, nepārsniedzot šo noteikumu 13. punktā minēto maksimālo aizdevuma summu vienam saimnieciskās darbības veicējam. Ja lielajam saimnieciskās darbības veicējam sniedz finanšu nodrošinājumu tirdzniecības darbībām enerģijas tirgos, garantijas summu var palielināt, lai segtu likviditātes vajadzības, kas izriet no šīm darbībām nākamajos 12 mēnešos. Likviditātes vajadzības, kas segtas atbilstoši normatīvajiem aktiem, ar kuriem tika ieviestas Covid-19 atbalsta programmas, nevar finansēt atkārtoti atbilstoši šiem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pilnībā skaidra noteikumu 12. punktā lietotā iekšējā atsauce uz noteikumu 13. punktu, ņemot vērā, ka tajā ir noteikta maksimālā spēkā esošo garantiju summa. Attiecīgi lūdzam to skaidrot anotācijā vai precizēt noteikumu projektu. Atkārtoti arī lūdzam noteikumu projektā precizēt vai anotācijā izvērstāk skaidrot noteikumu 12. punkta 2. teikumu un tā piemērošanu, tostarp lūdzam skaidrot, kas saprotams ar finanšu nodrošinājumu šīs normas izpratnē, kā arī par kādām "tirdzniecības darbībām enerģijas tirgos" ir runa. Paužam bažas, ka nav pilnībā skaidrs, kādos gadījumos normu piemēro un kādi ir kritēriji, lai izlemtu, vai konkrētam saimnieciskās darbības veicējam palielina garantijas summu. Norādām, ka normai jātiek piemērotai vienlīdzīgi. Attiecīgi lūdzam to izvērtēt un precizēt vai skaidrot anotācijā. Lūdzam arī precizēt vai anotācijā skaidrot, uz ko attiecināma frāze "nākamajos 12 mēnešos" (proti, uz palielināšanas iespēju, uz likviditātes vajadzību segšanu, vai uz darbībām), jo abos 12. punkta teikumos lietoti dažādi formulējumi.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 sadaļā norādīts: "MK Noteikumu projekta mērķis ir veikt redakcionālus precizējumus [..]." Ņemot vērā, ka noteikumu projektā paredzētas ne tikai redakcionālas izmaiņas, lūdzam atbilstoši precizēt anotācijas 1.2. sadaļu u.c. sadaļas, kur ietverta attiecīgā norāde.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22-TA-3304</w:t>
    </w:r>
    <w:r>
      <w:br/>
    </w:r>
    <w:r w:rsidR="00000000" w:rsidRPr="00000000" w:rsidDel="00000000">
      <w:rPr>
        <w:rtl w:val="0"/>
      </w:rPr>
      <w:t xml:space="preserve">Izdrukāts 02.12.2022. 15.03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22-TA-3304</w:t>
    </w:r>
    <w:r>
      <w:br/>
    </w:r>
    <w:r w:rsidR="00000000" w:rsidRPr="00000000" w:rsidDel="00000000">
      <w:rPr>
        <w:rtl w:val="0"/>
      </w:rPr>
      <w:t xml:space="preserve">Izdrukāts 02.12.2022. 15.03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Atzinumi_22-TA-3304.docx</dc:title>
</cp:coreProperties>
</file>

<file path=docProps/custom.xml><?xml version="1.0" encoding="utf-8"?>
<Properties xmlns="http://schemas.openxmlformats.org/officeDocument/2006/custom-properties" xmlns:vt="http://schemas.openxmlformats.org/officeDocument/2006/docPropsVTypes"/>
</file>