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neatbalsta, ka jaunā akdemiskās karjeras ietvarā paredzēta pāreja no minimālo darba algas likmju noteikšanas uz vidējās darba samaksas noteikšanu katram akadēmiskās karjeras posmam. LIZDA uzskata, ka tā vietā, lai izstrādātu jaunus MK noteikumus, darba samaksu jāturpina regulēt MK noteikumiem Nr. 445 "Pedagogu darba samaksas noteikumi", kā tas ir pašlaik. Tādejādi, pastāv vienota, droša sistēma visu līmeņu pedagogiem, kas daļēji novērsīs augstskolu autonomijas aizegā veidotu atšķirīgu darba samaksu akadēmiskā personāla kategorijām. LIZDA piekrīt, ka darba samaksas noteikšana institucionālās finansēšanas apstākļos ir katras augstskolas atbildība, bet MK apstiprinātās minimālās darba algu likmes rada lielāku  drošību par adekvātu un vienotu atalgojumu akadēmiskajos amatos nodarbinātajiem.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negatīvās fiskālās telpas prognozes turpmākajiem gadiem, pāreja uz vidējās darba samaksas noteikšanu akadēmiskajam personālam neliekas pārāk reāla, īpaši, ņemot vērā, ka ES Atveseļošānās fonda investīcijas ir īstermiņa risinājums.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Dita Štefenhagena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