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24888A" w14:textId="77777777" w:rsidR="0066545F" w:rsidRDefault="002E136C">
      <w:pPr>
        <w:pStyle w:val="titleparagraph"/>
        <w:contextualSpacing w:val="0"/>
      </w:pPr>
      <w:r>
        <w:t>24-TA-2785: Noteikumu projekts (Jauns)</w:t>
      </w:r>
    </w:p>
    <w:p w14:paraId="4796E901" w14:textId="77777777" w:rsidR="0066545F" w:rsidRDefault="002E136C">
      <w:pPr>
        <w:pStyle w:val="boldparagraph"/>
        <w:contextualSpacing w:val="0"/>
      </w:pPr>
      <w:r>
        <w:t xml:space="preserve">Noteikumi par prasībām gāzveida stāvoklī pārvērstas sašķidrinātās dabasgāzes, no </w:t>
      </w:r>
      <w:proofErr w:type="spellStart"/>
      <w:r>
        <w:t>atjaunīgajiem</w:t>
      </w:r>
      <w:proofErr w:type="spellEnd"/>
      <w:r>
        <w:t xml:space="preserve"> energoresursiem saražota vai iegūta gāzveida kurināmā un </w:t>
      </w:r>
      <w:proofErr w:type="spellStart"/>
      <w:r>
        <w:t>mazoglekļa</w:t>
      </w:r>
      <w:proofErr w:type="spellEnd"/>
      <w:r>
        <w:t xml:space="preserve"> gāzveida kurināmā ievadīšanai dabasgāzes pārvades un sadales sistēmā</w:t>
      </w:r>
    </w:p>
    <w:p w14:paraId="0375A129" w14:textId="77777777" w:rsidR="0066545F" w:rsidRDefault="002E136C">
      <w:pPr>
        <w:pStyle w:val="titleparagraph"/>
        <w:contextualSpacing w:val="0"/>
      </w:pPr>
      <w:r>
        <w:t>TA saskaņojamie dokumenti</w:t>
      </w:r>
    </w:p>
    <w:p w14:paraId="52B4548C" w14:textId="77777777" w:rsidR="0066545F" w:rsidRDefault="002E136C">
      <w:r>
        <w:t>Noteikumu projekts 3.0</w:t>
      </w:r>
    </w:p>
    <w:p w14:paraId="6B1C509B" w14:textId="77777777" w:rsidR="0066545F" w:rsidRDefault="002E136C">
      <w:r>
        <w:t>Anotācija (</w:t>
      </w:r>
      <w:proofErr w:type="spellStart"/>
      <w:r>
        <w:t>ex-ante</w:t>
      </w:r>
      <w:proofErr w:type="spellEnd"/>
      <w:r>
        <w:t>) 3.0</w:t>
      </w:r>
    </w:p>
    <w:p w14:paraId="384D2AAB" w14:textId="77777777" w:rsidR="0066545F" w:rsidRDefault="002E136C">
      <w:r>
        <w:t xml:space="preserve">MK sēdes </w:t>
      </w:r>
      <w:proofErr w:type="spellStart"/>
      <w:r>
        <w:t>protokollēmuma</w:t>
      </w:r>
      <w:proofErr w:type="spellEnd"/>
      <w:r>
        <w:t xml:space="preserve"> projekts 1.0</w:t>
      </w:r>
    </w:p>
    <w:p w14:paraId="036AAC61" w14:textId="77777777" w:rsidR="0066545F" w:rsidRDefault="002E136C">
      <w:pPr>
        <w:pStyle w:val="titleparagraph"/>
        <w:contextualSpacing w:val="0"/>
      </w:pPr>
      <w:r>
        <w:t>Atzinuma sniedzējs</w:t>
      </w:r>
    </w:p>
    <w:p w14:paraId="2E63B8F1" w14:textId="77777777" w:rsidR="0066545F" w:rsidRDefault="002E136C">
      <w:r>
        <w:t>Tieslietu ministrija</w:t>
      </w:r>
    </w:p>
    <w:p w14:paraId="42BAB5C4" w14:textId="77777777" w:rsidR="0066545F" w:rsidRDefault="002E136C">
      <w:pPr>
        <w:pStyle w:val="titleparagraph"/>
        <w:contextualSpacing w:val="0"/>
      </w:pPr>
      <w:r>
        <w:t>Atzinums iesniegts</w:t>
      </w:r>
    </w:p>
    <w:p w14:paraId="0FDBED3C" w14:textId="77777777" w:rsidR="0066545F" w:rsidRDefault="002E136C">
      <w:r>
        <w:t>07.01.2025.</w:t>
      </w:r>
    </w:p>
    <w:p w14:paraId="0328BFC9" w14:textId="77777777" w:rsidR="0066545F" w:rsidRDefault="002E136C">
      <w:pPr>
        <w:pStyle w:val="titleparagraph"/>
        <w:contextualSpacing w:val="0"/>
      </w:pPr>
      <w:r>
        <w:t>Atzinuma sniegšanas termiņš</w:t>
      </w:r>
    </w:p>
    <w:p w14:paraId="4D524335" w14:textId="77777777" w:rsidR="0066545F" w:rsidRDefault="002E136C">
      <w:r>
        <w:t>06.01.2025.</w:t>
      </w:r>
    </w:p>
    <w:p w14:paraId="67E92324" w14:textId="77777777" w:rsidR="0066545F" w:rsidRDefault="002E136C">
      <w:pPr>
        <w:pStyle w:val="titleparagraph"/>
        <w:contextualSpacing w:val="0"/>
      </w:pPr>
      <w:r>
        <w:t>Saskaņošanas rezultāts</w:t>
      </w:r>
    </w:p>
    <w:p w14:paraId="75F61994" w14:textId="77777777" w:rsidR="0066545F" w:rsidRDefault="002E136C">
      <w:r>
        <w:t>Noklusējuma saskaņojums</w:t>
      </w:r>
    </w:p>
    <w:p w14:paraId="7D404C7B" w14:textId="77777777" w:rsidR="0066545F" w:rsidRDefault="002E136C">
      <w:pPr>
        <w:pStyle w:val="titleparagraph"/>
        <w:contextualSpacing w:val="0"/>
      </w:pPr>
      <w:r>
        <w:t>Pieejamības statuss</w:t>
      </w:r>
    </w:p>
    <w:p w14:paraId="26C3057E" w14:textId="77777777" w:rsidR="0066545F" w:rsidRDefault="002E136C">
      <w:r>
        <w:t>Vispārpieejams</w:t>
      </w:r>
    </w:p>
    <w:p w14:paraId="22B68186" w14:textId="77777777" w:rsidR="0066545F" w:rsidRDefault="0066545F"/>
    <w:tbl>
      <w:tblPr>
        <w:tblStyle w:val="a"/>
        <w:tblW w:w="991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2006"/>
        <w:gridCol w:w="3969"/>
        <w:gridCol w:w="1559"/>
        <w:gridCol w:w="1843"/>
      </w:tblGrid>
      <w:tr w:rsidR="007C2265" w14:paraId="2436C047" w14:textId="5DB46FD6" w:rsidTr="00004C29">
        <w:tc>
          <w:tcPr>
            <w:tcW w:w="540" w:type="dxa"/>
            <w:shd w:val="clear" w:color="auto" w:fill="FFFFFF"/>
            <w:noWrap/>
            <w:tcMar>
              <w:top w:w="75" w:type="dxa"/>
              <w:left w:w="75" w:type="dxa"/>
              <w:bottom w:w="75" w:type="dxa"/>
              <w:right w:w="75" w:type="dxa"/>
            </w:tcMar>
            <w:vAlign w:val="center"/>
          </w:tcPr>
          <w:p w14:paraId="4E93C7D9" w14:textId="77777777" w:rsidR="007C2265" w:rsidRDefault="007C2265">
            <w:pPr>
              <w:spacing w:line="240" w:lineRule="auto"/>
              <w:jc w:val="center"/>
              <w:rPr>
                <w:b/>
              </w:rPr>
            </w:pPr>
            <w:proofErr w:type="spellStart"/>
            <w:r>
              <w:rPr>
                <w:b/>
              </w:rPr>
              <w:t>Nr.p.k</w:t>
            </w:r>
            <w:proofErr w:type="spellEnd"/>
            <w:r>
              <w:rPr>
                <w:b/>
              </w:rPr>
              <w:t>.</w:t>
            </w:r>
          </w:p>
        </w:tc>
        <w:tc>
          <w:tcPr>
            <w:tcW w:w="2006" w:type="dxa"/>
            <w:shd w:val="clear" w:color="auto" w:fill="FFFFFF"/>
            <w:noWrap/>
            <w:tcMar>
              <w:top w:w="75" w:type="dxa"/>
              <w:left w:w="75" w:type="dxa"/>
              <w:bottom w:w="75" w:type="dxa"/>
              <w:right w:w="75" w:type="dxa"/>
            </w:tcMar>
            <w:vAlign w:val="center"/>
          </w:tcPr>
          <w:p w14:paraId="1666A554" w14:textId="77777777" w:rsidR="007C2265" w:rsidRDefault="007C2265">
            <w:pPr>
              <w:spacing w:line="240" w:lineRule="auto"/>
              <w:jc w:val="center"/>
              <w:rPr>
                <w:b/>
              </w:rPr>
            </w:pPr>
            <w:r>
              <w:rPr>
                <w:b/>
              </w:rPr>
              <w:t>Projekta redakcija</w:t>
            </w:r>
          </w:p>
        </w:tc>
        <w:tc>
          <w:tcPr>
            <w:tcW w:w="3969" w:type="dxa"/>
            <w:shd w:val="clear" w:color="auto" w:fill="FFFFFF"/>
            <w:noWrap/>
            <w:tcMar>
              <w:top w:w="75" w:type="dxa"/>
              <w:left w:w="75" w:type="dxa"/>
              <w:bottom w:w="75" w:type="dxa"/>
              <w:right w:w="75" w:type="dxa"/>
            </w:tcMar>
            <w:vAlign w:val="center"/>
          </w:tcPr>
          <w:p w14:paraId="7AE144A7" w14:textId="77777777" w:rsidR="007C2265" w:rsidRDefault="007C2265">
            <w:pPr>
              <w:spacing w:line="240" w:lineRule="auto"/>
              <w:jc w:val="center"/>
              <w:rPr>
                <w:b/>
              </w:rPr>
            </w:pPr>
            <w:r>
              <w:rPr>
                <w:b/>
              </w:rPr>
              <w:t>Iebildums / Priekšlikums</w:t>
            </w:r>
          </w:p>
        </w:tc>
        <w:tc>
          <w:tcPr>
            <w:tcW w:w="1559" w:type="dxa"/>
            <w:shd w:val="clear" w:color="auto" w:fill="FFFFFF"/>
            <w:noWrap/>
            <w:tcMar>
              <w:top w:w="75" w:type="dxa"/>
              <w:left w:w="75" w:type="dxa"/>
              <w:bottom w:w="75" w:type="dxa"/>
              <w:right w:w="75" w:type="dxa"/>
            </w:tcMar>
            <w:vAlign w:val="center"/>
          </w:tcPr>
          <w:p w14:paraId="2F13C343" w14:textId="77777777" w:rsidR="007C2265" w:rsidRDefault="007C2265">
            <w:pPr>
              <w:spacing w:line="240" w:lineRule="auto"/>
              <w:jc w:val="center"/>
              <w:rPr>
                <w:b/>
              </w:rPr>
            </w:pPr>
            <w:r>
              <w:rPr>
                <w:b/>
              </w:rPr>
              <w:t>Autors</w:t>
            </w:r>
          </w:p>
        </w:tc>
        <w:tc>
          <w:tcPr>
            <w:tcW w:w="1843" w:type="dxa"/>
            <w:shd w:val="clear" w:color="auto" w:fill="FFFFFF"/>
          </w:tcPr>
          <w:p w14:paraId="6E334F10" w14:textId="62E56C88" w:rsidR="007C2265" w:rsidRDefault="007C2265" w:rsidP="007C2265">
            <w:pPr>
              <w:spacing w:line="240" w:lineRule="auto"/>
              <w:jc w:val="center"/>
              <w:rPr>
                <w:b/>
              </w:rPr>
            </w:pPr>
            <w:r>
              <w:rPr>
                <w:b/>
              </w:rPr>
              <w:t>Ministrijas viedoklis</w:t>
            </w:r>
          </w:p>
        </w:tc>
      </w:tr>
      <w:tr w:rsidR="007C2265" w14:paraId="046C123C" w14:textId="0FD3FFFA" w:rsidTr="00004C29">
        <w:tc>
          <w:tcPr>
            <w:tcW w:w="540" w:type="dxa"/>
            <w:shd w:val="clear" w:color="auto" w:fill="FFFFFF"/>
            <w:noWrap/>
            <w:tcMar>
              <w:top w:w="75" w:type="dxa"/>
              <w:left w:w="75" w:type="dxa"/>
              <w:bottom w:w="75" w:type="dxa"/>
              <w:right w:w="75" w:type="dxa"/>
            </w:tcMar>
          </w:tcPr>
          <w:p w14:paraId="637B1C96" w14:textId="77777777" w:rsidR="007C2265" w:rsidRDefault="007C2265">
            <w:pPr>
              <w:spacing w:line="240" w:lineRule="auto"/>
            </w:pPr>
            <w:r>
              <w:t>1.</w:t>
            </w:r>
          </w:p>
        </w:tc>
        <w:tc>
          <w:tcPr>
            <w:tcW w:w="2006" w:type="dxa"/>
            <w:shd w:val="clear" w:color="auto" w:fill="FFFFFF"/>
            <w:noWrap/>
            <w:tcMar>
              <w:top w:w="75" w:type="dxa"/>
              <w:left w:w="75" w:type="dxa"/>
              <w:bottom w:w="75" w:type="dxa"/>
              <w:right w:w="75" w:type="dxa"/>
            </w:tcMar>
          </w:tcPr>
          <w:p w14:paraId="05049A8F" w14:textId="77777777" w:rsidR="007C2265" w:rsidRDefault="007C2265">
            <w:pPr>
              <w:spacing w:after="240" w:line="240" w:lineRule="auto"/>
              <w:rPr>
                <w:b/>
              </w:rPr>
            </w:pPr>
            <w:r>
              <w:rPr>
                <w:b/>
              </w:rPr>
              <w:t>Anotācija (</w:t>
            </w:r>
            <w:proofErr w:type="spellStart"/>
            <w:r>
              <w:rPr>
                <w:b/>
              </w:rPr>
              <w:t>ex-ante</w:t>
            </w:r>
            <w:proofErr w:type="spellEnd"/>
            <w:r>
              <w:rPr>
                <w:b/>
              </w:rPr>
              <w:t>)</w:t>
            </w:r>
          </w:p>
          <w:p w14:paraId="1CAA214A" w14:textId="77777777" w:rsidR="007C2265" w:rsidRDefault="007C2265">
            <w:pPr>
              <w:spacing w:line="240" w:lineRule="auto"/>
            </w:pPr>
            <w:r>
              <w:t>5.1. Saistības pret Eiropas Savienību</w:t>
            </w:r>
          </w:p>
        </w:tc>
        <w:tc>
          <w:tcPr>
            <w:tcW w:w="3969" w:type="dxa"/>
            <w:shd w:val="clear" w:color="auto" w:fill="FFFFFF"/>
            <w:noWrap/>
            <w:tcMar>
              <w:top w:w="75" w:type="dxa"/>
              <w:left w:w="75" w:type="dxa"/>
              <w:bottom w:w="75" w:type="dxa"/>
              <w:right w:w="75" w:type="dxa"/>
            </w:tcMar>
          </w:tcPr>
          <w:p w14:paraId="45CBD658" w14:textId="77777777" w:rsidR="007C2265" w:rsidRDefault="007C2265">
            <w:pPr>
              <w:spacing w:after="240" w:line="240" w:lineRule="auto"/>
              <w:rPr>
                <w:b/>
              </w:rPr>
            </w:pPr>
            <w:r>
              <w:rPr>
                <w:b/>
              </w:rPr>
              <w:t>Priekšlikums</w:t>
            </w:r>
          </w:p>
          <w:p w14:paraId="37EACC3B" w14:textId="77777777" w:rsidR="007C2265" w:rsidRDefault="007C2265">
            <w:pPr>
              <w:spacing w:line="240" w:lineRule="auto"/>
            </w:pPr>
            <w:r>
              <w:t>Ņemot vērā Tieslietu ministrijas 2024. gada 12. decembra priekšlikumu (izziņas 11. punkts), anotācijā ietverts šāds skaidrojums: "</w:t>
            </w:r>
            <w:proofErr w:type="spellStart"/>
            <w:r>
              <w:rPr>
                <w:i/>
              </w:rPr>
              <w:t>RePowerEU</w:t>
            </w:r>
            <w:proofErr w:type="spellEnd"/>
            <w:r>
              <w:rPr>
                <w:i/>
              </w:rPr>
              <w:t xml:space="preserve"> ietvaros plānoto pasākumu horizontālajā novērtējumā "Nenodarīt būtisku kaitējumu" ir ietverts nosacījums, ka cauruļvados un attiecīgajās iekārtās ievadītai biogāzei/</w:t>
            </w:r>
            <w:proofErr w:type="spellStart"/>
            <w:r>
              <w:rPr>
                <w:i/>
              </w:rPr>
              <w:t>biometāna</w:t>
            </w:r>
            <w:proofErr w:type="spellEnd"/>
            <w:r>
              <w:rPr>
                <w:i/>
              </w:rPr>
              <w:t> </w:t>
            </w:r>
            <w:r>
              <w:rPr>
                <w:i/>
                <w:u w:val="single"/>
              </w:rPr>
              <w:t>jāatbilst Eiropas Parlamenta un Padomes 2018. gada 11. decembra Direktīvas (ES) 2018/2001 par no atjaunojamajiem energoresursiem iegūtas enerģijas izmantošanas veicināšanu 29.–31. pantā noteiktajiem ilgtspējības un siltumnīcefekta gāzu emisiju ietaupījuma kritērijiem</w:t>
            </w:r>
            <w:r>
              <w:rPr>
                <w:i/>
              </w:rPr>
              <w:t xml:space="preserve">. </w:t>
            </w:r>
            <w:r>
              <w:rPr>
                <w:i/>
                <w:u w:val="single"/>
              </w:rPr>
              <w:t xml:space="preserve">Attiecīgo prasību ietveršana noteikumu </w:t>
            </w:r>
            <w:r>
              <w:rPr>
                <w:i/>
                <w:u w:val="single"/>
              </w:rPr>
              <w:lastRenderedPageBreak/>
              <w:t>projektā</w:t>
            </w:r>
            <w:r>
              <w:rPr>
                <w:i/>
              </w:rPr>
              <w:t xml:space="preserve">, nodrošinot noteikto atskaites punktu izpildi, ir nepieciešama, lai neradītu risku zaudēt daļu Latvijai piešķirtā </w:t>
            </w:r>
            <w:proofErr w:type="spellStart"/>
            <w:r>
              <w:rPr>
                <w:i/>
              </w:rPr>
              <w:t>RePowerEU</w:t>
            </w:r>
            <w:proofErr w:type="spellEnd"/>
            <w:r>
              <w:rPr>
                <w:i/>
              </w:rPr>
              <w:t xml:space="preserve"> finansējuma, kas tiek ieguldīts elektroenerģijas un dabasgāzes sistēmas operatoru infrastruktūras stiprināšanā un paplašināšanā, un kas tostarp ir būtisks Latvijai noteikto atjaunojamo energoresursu mērķu izpildei un sistēmu drošai un nepārtrauktai darbībai</w:t>
            </w:r>
            <w:r>
              <w:t xml:space="preserve">." Attiecīgi aicinām izvērtēt, vai projektā nav pārņemtas iepriekš minētās Eiropas Parlamenta un Padomes 2018. gada 11. decembra Direktīvas (ES) 2018/2001 par no atjaunojamajiem energoresursiem iegūtas enerģijas izmantošanas veicināšanu (turpmāk - Direktīva 2018/2001) prasības. Ja projektā pārņemtas kādas Direktīvas 2018/2001 prasības, lūdzam papildināt projektu ar informatīvo atsauci uz minēto direktīvu, attiecīgi arī papildinot anotācijas 5.1. </w:t>
            </w:r>
            <w:proofErr w:type="spellStart"/>
            <w:r>
              <w:t>apakšsadaļu</w:t>
            </w:r>
            <w:proofErr w:type="spellEnd"/>
            <w:r>
              <w:t xml:space="preserve"> un 5.4. </w:t>
            </w:r>
            <w:proofErr w:type="spellStart"/>
            <w:r>
              <w:t>apakšsadaļas</w:t>
            </w:r>
            <w:proofErr w:type="spellEnd"/>
            <w:r>
              <w:t xml:space="preserve"> 1. tabulu ar informāciju par direktīvas prasību pārņemšanu projektā. Ja Direktīvas 2018/2001 prasības projektā pārņemtas netiek, aicinām sniegt attiecīgu skaidrojumu.</w:t>
            </w:r>
          </w:p>
          <w:p w14:paraId="45A9BA3E" w14:textId="77777777" w:rsidR="007C2265" w:rsidRDefault="007C2265">
            <w:pPr>
              <w:spacing w:line="240" w:lineRule="auto"/>
            </w:pPr>
            <w:r>
              <w:t xml:space="preserve">Papildus atkārtoti aicinām izvērstāk skaidrot anotācijas 5.4. </w:t>
            </w:r>
            <w:proofErr w:type="spellStart"/>
            <w:r>
              <w:t>apakšsadaļas</w:t>
            </w:r>
            <w:proofErr w:type="spellEnd"/>
            <w:r>
              <w:t xml:space="preserve"> 1. tabulā vai anotācijas 1.3. </w:t>
            </w:r>
            <w:proofErr w:type="spellStart"/>
            <w:r>
              <w:t>apakšsadaļā</w:t>
            </w:r>
            <w:proofErr w:type="spellEnd"/>
            <w:r>
              <w:t xml:space="preserve"> Eiropas Parlamenta un Padomes 2024. gada 13. jūnija Direktīvas (ES) 2024/1788 par kopīgiem noteikumiem attiecībā uz atjaunīgās gāzes, un dabasgāzes un ūdeņraža iekšējo tirgu un ar ko groza Direktīvu (ES) 2023/1791 un atceļ Direktīvu 2009/73/EK (pārstrādāta redakcija) 30. panta ("</w:t>
            </w:r>
            <w:r>
              <w:rPr>
                <w:i/>
              </w:rPr>
              <w:t xml:space="preserve">Dalībvalstis nodrošina atjaunīgās gāzes un </w:t>
            </w:r>
            <w:proofErr w:type="spellStart"/>
            <w:r>
              <w:rPr>
                <w:i/>
              </w:rPr>
              <w:t>mazoglekļa</w:t>
            </w:r>
            <w:proofErr w:type="spellEnd"/>
            <w:r>
              <w:rPr>
                <w:i/>
              </w:rPr>
              <w:t xml:space="preserve"> gāzes piekļuvi tirgum un infrastruktūrai neatkarīgi no tā, vai atjaunīgās gāzes un </w:t>
            </w:r>
            <w:proofErr w:type="spellStart"/>
            <w:r>
              <w:rPr>
                <w:i/>
              </w:rPr>
              <w:t>mazoglekļa</w:t>
            </w:r>
            <w:proofErr w:type="spellEnd"/>
            <w:r>
              <w:rPr>
                <w:i/>
              </w:rPr>
              <w:t xml:space="preserve"> gāzes ražošanas iekārtas ir savienotas ar sadales vai pārvades tīkliem, ņemot vērā pieņēmumus attiecībā uz to, kā attīstīsies dabasgāzes ražošana, </w:t>
            </w:r>
            <w:r>
              <w:rPr>
                <w:i/>
              </w:rPr>
              <w:lastRenderedPageBreak/>
              <w:t>piegāde un patēriņš saskaņā ar 55. panta 2. punkta f) apakšpunktu</w:t>
            </w:r>
            <w:r>
              <w:t xml:space="preserve">.") pārņemšanu projekta 3. un 5. punktā. Proti, aicinām izvērstāk skaidrot, vai un kā ir pilnībā pārņemta minētā direktīvas prasība, tostarp, kā ir ņemti vērā direktīvas normā minētie apsvērumi. Ņemot vērā projekta 17. punktā ietverto atsauci uz Eiropas Savienības regulas normu, atkārtoti arī aicinām papildināt anotācijas 5.4. </w:t>
            </w:r>
            <w:proofErr w:type="spellStart"/>
            <w:r>
              <w:t>apakšsadaļas</w:t>
            </w:r>
            <w:proofErr w:type="spellEnd"/>
            <w:r>
              <w:t xml:space="preserve"> 1. tabulu ar informāciju par attiecīgās regulas vienību ieviešanu projekta 17. punktā. </w:t>
            </w:r>
          </w:p>
          <w:p w14:paraId="1B5AA8F4" w14:textId="77777777" w:rsidR="007C2265" w:rsidRDefault="007C2265">
            <w:pPr>
              <w:spacing w:line="240" w:lineRule="auto"/>
            </w:pPr>
            <w:r>
              <w:t xml:space="preserve">Papildus aicinām novērst tehnisku neprecizitāti, precizējot anotācijas 5.2. </w:t>
            </w:r>
            <w:proofErr w:type="spellStart"/>
            <w:r>
              <w:t>apakšsadaļu</w:t>
            </w:r>
            <w:proofErr w:type="spellEnd"/>
            <w:r>
              <w:t xml:space="preserve"> un attiecīgi svītrojot anotācijas 5.5. </w:t>
            </w:r>
            <w:proofErr w:type="spellStart"/>
            <w:r>
              <w:t>apakšsadaļas</w:t>
            </w:r>
            <w:proofErr w:type="spellEnd"/>
            <w:r>
              <w:t xml:space="preserve"> 2. tabulu. Alternatīvi aicinām, ja nepieciešams, minētās anotācijas </w:t>
            </w:r>
            <w:proofErr w:type="spellStart"/>
            <w:r>
              <w:t>apakšsadaļas</w:t>
            </w:r>
            <w:proofErr w:type="spellEnd"/>
            <w:r>
              <w:t xml:space="preserve"> korekti un pilnīgi aizpildīt.</w:t>
            </w:r>
          </w:p>
          <w:p w14:paraId="0010569C" w14:textId="77777777" w:rsidR="007C2265" w:rsidRDefault="007C2265">
            <w:pPr>
              <w:spacing w:before="240" w:after="240" w:line="240" w:lineRule="auto"/>
              <w:rPr>
                <w:i/>
              </w:rPr>
            </w:pPr>
            <w:r>
              <w:rPr>
                <w:i/>
              </w:rPr>
              <w:t>Piedāvātā redakcija</w:t>
            </w:r>
          </w:p>
          <w:p w14:paraId="0DD75A78" w14:textId="77777777" w:rsidR="007C2265" w:rsidRDefault="007C2265">
            <w:pPr>
              <w:spacing w:line="240" w:lineRule="auto"/>
            </w:pPr>
            <w:r>
              <w:t>-</w:t>
            </w:r>
          </w:p>
        </w:tc>
        <w:tc>
          <w:tcPr>
            <w:tcW w:w="1559" w:type="dxa"/>
            <w:shd w:val="clear" w:color="auto" w:fill="FFFFFF"/>
            <w:noWrap/>
            <w:tcMar>
              <w:top w:w="75" w:type="dxa"/>
              <w:left w:w="75" w:type="dxa"/>
              <w:bottom w:w="75" w:type="dxa"/>
              <w:right w:w="75" w:type="dxa"/>
            </w:tcMar>
          </w:tcPr>
          <w:p w14:paraId="19B65F20" w14:textId="77777777" w:rsidR="007C2265" w:rsidRDefault="007C2265">
            <w:pPr>
              <w:spacing w:line="240" w:lineRule="auto"/>
            </w:pPr>
            <w:r>
              <w:lastRenderedPageBreak/>
              <w:t>Renāte Luīze Cietvīra (TM)</w:t>
            </w:r>
          </w:p>
        </w:tc>
        <w:tc>
          <w:tcPr>
            <w:tcW w:w="1843" w:type="dxa"/>
            <w:shd w:val="clear" w:color="auto" w:fill="FFFFFF"/>
          </w:tcPr>
          <w:p w14:paraId="530FD790" w14:textId="5EFBE7D0" w:rsidR="007C2265" w:rsidRDefault="007C2265" w:rsidP="007C2265">
            <w:pPr>
              <w:spacing w:line="240" w:lineRule="auto"/>
            </w:pPr>
            <w:r w:rsidRPr="007C2265">
              <w:t>Anotācij</w:t>
            </w:r>
            <w:r w:rsidR="00004C29">
              <w:t>a</w:t>
            </w:r>
            <w:r w:rsidRPr="007C2265">
              <w:t xml:space="preserve"> attiecībā uz </w:t>
            </w:r>
            <w:r w:rsidRPr="007C2265">
              <w:t>Eiropas Parlamenta un Padomes 2018. gada 11. decembra Direktīv</w:t>
            </w:r>
            <w:r w:rsidRPr="007C2265">
              <w:t>u</w:t>
            </w:r>
            <w:r w:rsidRPr="007C2265">
              <w:t> (ES) 2018/2001</w:t>
            </w:r>
            <w:r w:rsidR="00004C29">
              <w:t xml:space="preserve"> ir papildināta, tehniskā neprecizitāte novērsta.  </w:t>
            </w:r>
            <w:r>
              <w:t xml:space="preserve"> </w:t>
            </w:r>
            <w:r w:rsidRPr="007C2265">
              <w:t xml:space="preserve"> </w:t>
            </w:r>
            <w:r w:rsidRPr="007C2265">
              <w:t>Eiropas Komisijas 2015. gada 30. aprīļa Regulas Nr. 2015/703</w:t>
            </w:r>
            <w:r w:rsidR="00004C29">
              <w:t xml:space="preserve"> (turpmāk - Regula)</w:t>
            </w:r>
            <w:r w:rsidRPr="007C2265">
              <w:t xml:space="preserve">, ar ko izveido tīkla kodeksu par </w:t>
            </w:r>
            <w:proofErr w:type="spellStart"/>
            <w:r w:rsidRPr="007C2265">
              <w:t>sadarbspējas</w:t>
            </w:r>
            <w:proofErr w:type="spellEnd"/>
            <w:r w:rsidRPr="007C2265">
              <w:t xml:space="preserve"> un datu apmaiņas </w:t>
            </w:r>
            <w:r w:rsidRPr="007C2265">
              <w:lastRenderedPageBreak/>
              <w:t>noteikumiem</w:t>
            </w:r>
            <w:r>
              <w:t xml:space="preserve">, </w:t>
            </w:r>
            <w:r w:rsidRPr="007C2265">
              <w:t xml:space="preserve"> prasības ir izpildītas,</w:t>
            </w:r>
            <w:r>
              <w:t xml:space="preserve"> v</w:t>
            </w:r>
            <w:r w:rsidRPr="007C2265">
              <w:t>ienota</w:t>
            </w:r>
            <w:r>
              <w:t xml:space="preserve">jam </w:t>
            </w:r>
            <w:r w:rsidRPr="007C2265">
              <w:t>dabasgāzes pārvades un uzglabāšanas sistēmas operator</w:t>
            </w:r>
            <w:r>
              <w:t>am</w:t>
            </w:r>
            <w:r w:rsidRPr="007C2265">
              <w:t xml:space="preserve"> </w:t>
            </w:r>
            <w:r>
              <w:t xml:space="preserve">noslēdzot </w:t>
            </w:r>
            <w:proofErr w:type="spellStart"/>
            <w:r>
              <w:t>starpsavienojuma</w:t>
            </w:r>
            <w:proofErr w:type="spellEnd"/>
            <w:r>
              <w:t xml:space="preserve"> līgumu, līdz ar to </w:t>
            </w:r>
            <w:r w:rsidR="00004C29">
              <w:t>N</w:t>
            </w:r>
            <w:r>
              <w:t>oteikumu projekts neietver Regulas prasības</w:t>
            </w:r>
            <w:r w:rsidR="00004C29">
              <w:t xml:space="preserve"> un satur tikai atsauci uz </w:t>
            </w:r>
            <w:proofErr w:type="spellStart"/>
            <w:r w:rsidR="00004C29">
              <w:t>starpsavienojuma</w:t>
            </w:r>
            <w:proofErr w:type="spellEnd"/>
            <w:r w:rsidR="00004C29">
              <w:t xml:space="preserve"> līgumu, kas noslēgts saskaņā ar Regulu.</w:t>
            </w:r>
            <w:r>
              <w:t xml:space="preserve"> </w:t>
            </w:r>
          </w:p>
        </w:tc>
      </w:tr>
    </w:tbl>
    <w:p w14:paraId="41042D48" w14:textId="77777777" w:rsidR="002E136C" w:rsidRDefault="002E136C"/>
    <w:sectPr w:rsidR="002E136C">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84F64" w14:textId="77777777" w:rsidR="002E136C" w:rsidRDefault="002E136C">
      <w:r>
        <w:separator/>
      </w:r>
    </w:p>
  </w:endnote>
  <w:endnote w:type="continuationSeparator" w:id="0">
    <w:p w14:paraId="548348BD" w14:textId="77777777" w:rsidR="002E136C" w:rsidRDefault="002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F327" w14:textId="77777777" w:rsidR="0066545F" w:rsidRDefault="002E136C">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963E" w14:textId="77777777" w:rsidR="002E136C" w:rsidRDefault="002E136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605BD" w14:textId="77777777" w:rsidR="002E136C" w:rsidRDefault="002E136C">
      <w:r>
        <w:separator/>
      </w:r>
    </w:p>
  </w:footnote>
  <w:footnote w:type="continuationSeparator" w:id="0">
    <w:p w14:paraId="52FB2636" w14:textId="77777777" w:rsidR="002E136C" w:rsidRDefault="002E1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0F18" w14:textId="77777777" w:rsidR="0066545F" w:rsidRDefault="002E136C">
    <w:pPr>
      <w:pStyle w:val="Header"/>
      <w:contextualSpacing w:val="0"/>
    </w:pPr>
    <w:r>
      <w:t>Atzinumi 24-TA-2785</w:t>
    </w:r>
    <w:r>
      <w:br/>
      <w:t>Izdrukāts 07.01.2025. 09.17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C941" w14:textId="77777777" w:rsidR="0066545F" w:rsidRDefault="002E136C">
    <w:pPr>
      <w:pStyle w:val="Header"/>
      <w:contextualSpacing w:val="0"/>
    </w:pPr>
    <w:r>
      <w:t>Atzinumi 24-TA-2785</w:t>
    </w:r>
    <w:r>
      <w:br/>
      <w:t>Izdrukāts 07.01.2025. 09.17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45F"/>
    <w:rsid w:val="00004C29"/>
    <w:rsid w:val="002E136C"/>
    <w:rsid w:val="00521B44"/>
    <w:rsid w:val="0066545F"/>
    <w:rsid w:val="007C2265"/>
    <w:rsid w:val="00C80785"/>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7F6DB"/>
  <w15:docId w15:val="{17D30DB1-DE9D-47EE-B8AF-E18EAD21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pPr>
      <w:spacing w:line="552"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2840</Words>
  <Characters>1620</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Atzinumi_24-TA-2785.docx</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Atzinumi_24-TA-2785.docx</dc:title>
  <dc:creator>Ilona Lulberga</dc:creator>
  <cp:lastModifiedBy>Ilāna Garbere-Bule</cp:lastModifiedBy>
  <cp:revision>2</cp:revision>
  <dcterms:created xsi:type="dcterms:W3CDTF">2025-01-08T07:40:00Z</dcterms:created>
  <dcterms:modified xsi:type="dcterms:W3CDTF">2025-01-08T07:40:00Z</dcterms:modified>
</cp:coreProperties>
</file>