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plānota finansējuma saņēmēju loka paplašināšana, paredzot iespēju atklātā projektu iesniegumu atlasē piedalīties un ĢVPP veidot arī privātajiem sociālo pakalpojumu sniedzējiem (komercsabiedrībām, biedrībām un nodibinājumiem), kas vienlaikus ir kvalificējami kā saimnieciskās darbības veicēji. LM ir secinājusi, ka "ņemot vērā to, ka ilgstošas sociālās aprūpes un sociālās rehabilitācijas institūcijas pakalpojuma sniegšana gandrīz nebūtu iespējama bez pašvaldības līdzfinansējuma – konkurence šajā jomā ir ierobežota un praktiski izslēgta, jo pašvaldības piešķir pakalpojumu savas teritorijas iedzīvotājiem, balstoties uz sociālā dienesta lēmumu, kā pieņemšana ir reglamentēta tiesību aktos. Pakalpojuma nodrošināšana, balstoties uz pašvaldības sociālā dienesta lēmumu, norāda uz to, ka darbības, kuras tiek veiktas sociālās drošības sistēmas ietvaros, nav ekonomiska rakstura darbības." Vēršam uzmanību, ka, lai konstatētu, vai pasākumā ir jāpiemēro komercdarbības atbalsta regulējums, vispirms tiek noteikts, vai atbalsts tiek sniegts ekonomiska rakstura darbībām - konkrētu subjektu saimnieciskai darbībai. Tikai pēc tam ir jāanalizē Komercdarbības atbalsta kontroles likuma 5.pantā minētās četras komercdarbības atbalsta pazīmes, t.sk. ietekme uz konkurenci un tirdzniecību Eiropas Savienībā. Finanšu ministrija šā gada 12.aprīļa vēstulē Nr.7-4/18 /1115 Labklājības ministrijai skaidroja, ka LM komercdarbības atbalsta izvērtējumā "apgalvojums, ka Latvijā ilgstošas aprūpes pakalpojumu sniegšanas jomā nav tirgus un šīs jomas darbības nav ar saimniecisku raksturu, nav 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anotācijā ir sniegusi arī informāciju, ka "Komercdarbības atbalsta analīze sagatavota, konsultējoties ar Eiropas Komisijas (EK) Ekonomikas un finanšu lietu ģenerāldirektorātu, kas tālāk konsultējās arī ar Eiropas Komisijas Konkurences ģenerāldirektorātu (Eiropas Komisijas ekspertu provizoriskais viedoklis saņemts 22.04.2024. e-pasta sarakstē)." Vēršam uzmanību, ka EK neoficiālais sākotnējais viedoklis ir balstīts uz LM iesniegto iepriekš pieminēto nekorekto informāciju. Līdztekus EK savā viedoklī uzsver, ka tās sniegtais viedoklis ir tikai neformāls un provizorisks, un atbildība par komercdarbības atbalsta atbilstības nodrošināšanu jebkurā gadījumā paliek Latvijai, atgādinot, ka, lai attiecīgos pakalpojumus varētu uzskatīt par neekonomiskiem, Latvijai ir jāpārbauda, vai atbilstošie pakalpojumu sniedzēji ir daļa no valsts veselības aprūpes sistēmas, kuras pamatā ir sociāls mērķis un kuras pamatā ir solidaritātes princips un kura darbojas valsts pārraudzībā, ir tiešā veidā finansēti no sociālās apdrošināšanas iemaksām un citiem valsts līdzekļiem un sniedz pakalpojumus bez maksas. Pretējā gadījumā ir jāievēro attiecīgais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Jūs precizēt informāciju anotācijā un precizēt MKN, vai nu iekļaujot uz faktiem balstītu Komercdarbības atbalsta kontroles likuma 5.pantā ietvertās ceturtās komercdarbības atbalsta pazīmes (atbalsta ietekme uz konkurenci un ES tirgu) izvērtējumu (šajā gadījumā ietverot MKN kritērijus, kā tiks vērtēts katrs konkrētais projekts), vai arī ja tiek secināts, ka tā izpildās, atbilstoša komercdarbības atbalsta regulējuma normas. Vienlaikus, protams, ņemot vērā iepriekš skaidroto, LM ir arī iespēja sagatavot precizētu komercdarbības atbalsta izvērtējumu 3.1.2.3.i. investīcijas "Ilgstošas sociālās aprūpes pakalpojuma noturība un nepārtrauktība: jaunu ģimeniskai videi pietuvinātu aprūpes pakalpojumu sniedzēju attīstība pensijas vecuma personām" ietvaros angļu valodā nosūtīšanai EK, lai saņemtu EK viedokli par komercdarbības atbalsta neesamību pasākumā, balstoties uz korektu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šo noteikumu </w:t>
            </w:r>
            <w:r w:rsidR="00000000" w:rsidRPr="00000000" w:rsidDel="00000000">
              <w:rPr>
                <w:rtl w:val="0"/>
              </w:rPr>
              <w:t xml:space="preserve">7.1.</w:t>
            </w:r>
            <w:r w:rsidR="00000000" w:rsidRPr="00000000" w:rsidDel="00000000">
              <w:rPr>
                <w:rtl w:val="0"/>
              </w:rPr>
              <w:t xml:space="preserve"> apakšpunktā</w:t>
            </w:r>
            <w:r w:rsidR="00000000" w:rsidRPr="00000000" w:rsidDel="00000000">
              <w:rPr>
                <w:rtl w:val="0"/>
              </w:rPr>
              <w:t xml:space="preserve"> noteiktā mērķrādītāja sasniegšanai – Centrālās finanšu un līgumu aģentūras (turpmāk – aģentūra) informācija par noslēgtajiem  šo noteikumu </w:t>
            </w:r>
            <w:r w:rsidR="00000000" w:rsidRPr="00000000" w:rsidDel="00000000">
              <w:rPr>
                <w:rtl w:val="0"/>
              </w:rPr>
              <w:t xml:space="preserve">7.1.</w:t>
            </w:r>
            <w:r w:rsidR="00000000" w:rsidRPr="00000000" w:rsidDel="00000000">
              <w:rPr>
                <w:rtl w:val="0"/>
              </w:rPr>
              <w:t xml:space="preserve"> apakšpunktā</w:t>
            </w:r>
            <w:r w:rsidR="00000000" w:rsidRPr="00000000" w:rsidDel="00000000">
              <w:rPr>
                <w:rtl w:val="0"/>
              </w:rPr>
              <w:t xml:space="preserve"> minētajiem līgumiem, kas paredz jaunu ģimeniskai videi pietuvinātu ilgstošas aprūpes pakalpojumu sniegšanas vietu izveidošanu, un šo līgumu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grozījumu 8.punktā vai papildināt ar skaidrojumu anotācijā, aprakstot, kādā veidā (caur kādu sadarbības shēmu) tiks nodrošināta paplašinātā finansējuma saņēmēju loka atbilstība Atveseļošanas fonda 122.rādītāja prasībām "17 līgumu noslēgšana ar pašvaldībām par projektu īstenošanu", lai tos varētu ieskaitīt mērķrādītājā atbilstoši prasībām, kas noteiktas Padomes lēmumā, ar ko groza 2021. gada 13. jūlija Īstenošanas lēmumu (ES) par Latvijas atveseļošanas un noturības plāna novērtējuma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41.12. </w:t>
            </w:r>
            <w:r w:rsidR="00000000" w:rsidRPr="00000000" w:rsidDel="00000000">
              <w:rPr>
                <w:rtl w:val="0"/>
              </w:rPr>
              <w:t xml:space="preserve">apakšpunktā</w:t>
            </w:r>
            <w:r w:rsidR="00000000" w:rsidRPr="00000000" w:rsidDel="00000000">
              <w:rPr>
                <w:rtl w:val="0"/>
              </w:rPr>
              <w:t xml:space="preserve"> minētajā laikposmā nav iespējams nodrošināt ģimeniskai videi pietuvinātu pakalpojumu sniegšanu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 minētajām mērķa grupas personām, kurām pansijas vai ilgstošas sociālās aprūpes un sociālās rehabilitācijas institūcijas pakalpojums ir piešķirts ar sociālā dienesta lēmumu, finansējuma saņēmējs var veikt papildinošo saimniecisko darbību un sniegt ģimeniskai videi pietuvinātu pakalpojumu ne vairāk kā trīs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mērķa grupas personām bez sociālā dienesta lēmuma, kopumā nepārsniedzot 20 procentus no infrastruktūras kopējās gada jaudas (pakalpojuma vietu skaita). Finansējuma saņēmējs var veikt papildinošo saimniecisko darbību arī ieguldījumu amortizācijas periodā, kopumā nepārsniedzot 20 procentus no infrastruktūras kopējās gada jaudas (pakalpojuma vietu skaita).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sociālās rehabilitācijas un sociālās aprūpes jomā darbojas un savstarpēji konkurē gan privātie, gan publiskie pakalpojumu sniedzēji piedāvājot savus pakalpojumus tirgū, attiecīgi šajā jomā nav iespējams piemērot nosacījumu, ka infrastruktūru izmanto galvenokārt tikai nesaimnieciskajai darbībai un tādēļ ierobežotā apjomā varētu tikt īstenota papildinoša saimnieciskā darbība, atbilstoši Eiropas Komisijas paziņojuma Par Līguma par Eiropas Savienības darbību 107. panta 1. punktā minēto valsts atbalsta jēdzienu (2016/C 262/01) (turpmāk – Komisijas paziņojums) 207.punktā norādītajam. Ievērojot minēto, lūdzam dzēst 41.</w:t>
            </w:r>
            <w:r w:rsidR="00000000" w:rsidRPr="00000000" w:rsidDel="00000000">
              <w:rPr>
                <w:vertAlign w:val="superscript"/>
                <w:rtl w:val="0"/>
              </w:rPr>
              <w:t xml:space="preserve">1</w:t>
            </w:r>
            <w:r w:rsidR="00000000" w:rsidRPr="00000000" w:rsidDel="00000000">
              <w:rPr>
                <w:rtl w:val="0"/>
              </w:rPr>
              <w:t xml:space="preserve"> punktu, pārskatīt atsauces citos MK noteikumu projekta punktos, kā arī dzēst skaidrojumus anotācijā par  papildinošo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plānoto AF 122.mērķa sasniegšanas termiņu. Vēršam uzmanību, ka Latvijas maksājuma pieprasījums par 2023.gada AF mērķu (t.sk. 122.mērķa) sasniegšanu ir jāiesniedz Eiropas Komisijai ne vēlāk kā līdz 2024.gada beigām, t.sk. līdz tam jābūt veiktām attiecīgajām informācijas pārbaudēm par mērķu sasniegšanu, t.sk. saņemtam Revīzijas iestādes ziņojumam.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doto brīdi ir trīs īstenošanā esoši projekti, lūdzam papildināt anotācijas 1.3. sadaļu, ka šie trīs finansējuma saņēmēji tiks informēti par Ministru kabineta 2023. gada 22. augusta noteikumu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noteikumi Nr. 475) grozījumiem, lai tie nepieciešamības gadījumā atbilstoši no anotācijas izrietošajai informācijai varētu izvērtēt un ierosināt atbilstošus grozījumus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punkta “Pašreizējā situācija” pēdējo teikumu, skaitļu “5.5.1.” vietā lietojot skaitļus “5.1.1.” atbilstoši informatīvajam ziņojumam “Par Eiropas Savienības Atveseļošanas un noturības mehānisma plāna 3.1. reformu un investīciju virziena “Reģionālā politika” reformas 3.1.2.r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mērķrādītāja īstenošanas termiņu kavējumu”.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norādīto FM budžeta apakšprogrammas numuru, skaitļu “74.07.” vietā lietojot skaitļus “74.07.00”.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veic atklātu projektu iesniegumu atlasi saskaņā ar aģentūras apstiprinātu un ministrijas saskaņotu investīcijas otrās kārtas projektu iesniegumu atlases nolikumu. Ja projektu iesniegumu atlasē neapstiprina projektu iesniegumus par visu investīcijas otrajai kārtai pieejamo Atveseļošanas fonda finansējumu, rīko atkārtotu projektu iesniegumu atlasi par atlikušo investīcijas otrajai kārtai pieejamo Atveseļošanas fonda finansējumu. Ja projektu iesniegumu atlasē neapstiprina projektu iesniegumus par visu investīcijas otrajai kārtai pieejamo Atveseļošanas fonda finansējumu, aģentūra rīko atkārtotu projektu iesniegumu atlasi par atlikušo investīcijas otrajai kārtai pieejamo Atveseļošanas fonda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7.punktu, kas izsaka MK noteikumu Nr.475 16.punktu citā redakcijā, jo pēdējie divi teikumi atkārtojas.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Pēc investīcijas otrās kārtas projektu iesniegumu atbilstības šo noteikumu </w:t>
            </w:r>
            <w:r w:rsidR="00000000" w:rsidRPr="00000000" w:rsidDel="00000000">
              <w:rPr>
                <w:rtl w:val="0"/>
              </w:rPr>
              <w:t xml:space="preserve">1.</w:t>
            </w:r>
            <w:r w:rsidR="00000000" w:rsidRPr="00000000" w:rsidDel="00000000">
              <w:rPr>
                <w:rtl w:val="0"/>
              </w:rPr>
              <w:t xml:space="preserve"> pielikumā</w:t>
            </w:r>
            <w:r w:rsidR="00000000" w:rsidRPr="00000000" w:rsidDel="00000000">
              <w:rPr>
                <w:rtl w:val="0"/>
              </w:rPr>
              <w:t xml:space="preserve"> minētajiem kvalitātes kritērijiem izvērtēšanas projektu iesniegumus, kas saņēmuši minimāli nepieciešamo punktu skaitu šo noteikumu </w:t>
            </w:r>
            <w:r w:rsidR="00000000" w:rsidRPr="00000000" w:rsidDel="00000000">
              <w:rPr>
                <w:rtl w:val="0"/>
              </w:rPr>
              <w:t xml:space="preserve">1.</w:t>
            </w:r>
            <w:r w:rsidR="00000000" w:rsidRPr="00000000" w:rsidDel="00000000">
              <w:rPr>
                <w:rtl w:val="0"/>
              </w:rPr>
              <w:t xml:space="preserve"> pielikumā</w:t>
            </w:r>
            <w:r w:rsidR="00000000" w:rsidRPr="00000000" w:rsidDel="00000000">
              <w:rPr>
                <w:rtl w:val="0"/>
              </w:rPr>
              <w:t xml:space="preserve"> minēto 3.4., 3.5. un 3.7. kvalitātes kritēriju vērtējumā, sarindo dilstošā secībā atbilstoši iegūtajam punktu skaitam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"l</w:t>
            </w:r>
            <w:r w:rsidR="00000000" w:rsidRPr="00000000" w:rsidDel="00000000">
              <w:rPr>
                <w:rtl w:val="0"/>
              </w:rPr>
              <w:t xml:space="preserve">ai nodrošinātu vienlīdzīgu sacensību starp projektu iesniedzējiem, vērtējums tiek noteikts, fiksējot situāciju uz projekta iesniegšanas brīdi", lai apstrīdēšanas gadījumā izvairītos no situācijas, kad projekta iesniedzējs norāda uz apstākļu maiņu uzreiz pēc projekta iesnieguma iesniegšanas.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Investīcijas otrās kārtas projekta iesniedzējs – pašvaldības kapitālsabiedrība un sociālo pakalpojumu sniedzējs – komercsabiedrība, biedrība vai nodibinājums – var apstrīdēt aģentūras pieņemto lēmumu Finanšu ministrijā Administratīvā procesa likumā noteiktajā kārtībā. Projekta iesniedzējs – pašvaldība vai pašvaldības iestāde – var apstrīdēt aģentūras pieņemto lēmumu viena mēneša laikā no tā spēkā stāšanās dienas Finanšu ministrijā. Finanšu ministrijas pieņemtais lēmums par apstrīdēto aģentūras lēmumu nav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Nr. 475 plānoto 29. punktu piedāvātajā redakcijā. Vēršam uzmanību, ka no pašreizējās punkta redakcijas izriet, ka abos apstrīdēšanas gadījumos Finanšu ministrijas pieņemtais lēmums nav pārsūdzams, bet gadījumos, ja projekta iesniedzējs ir privāto tiesību subjekts, tad Finanšu ministrijas pieņemtais lēmums ir pārsūdzams -  to var pārsūdzēt Administratīvajā rajona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 pašvaldības kapitālsabiedrība un sociālo pakalpojumu sniedzējs – komercsabiedrība, biedrība vai nodibinājums – lēmumu par tā projekta iesniegumu var apstrīdēt un pārsūdzēt Administratīvā procesa likumā noteiktajā kārtībā. Projekta iesniedzējs – pašvaldība vai pašvaldības iestāde – var apstrīdēt aģentūras pieņemto lēmumu viena mēneša laikā no tā spēkā stāšanās dienas Finanšu ministrijā, kuras pieņemtais lēmums nav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 finansējuma saņēmējs sagatavo avansa maksājuma pieprasījumu, kurā pamato avansa maksājuma nepieciešamību un apmēru. Avansa maksājumu var veikt vairākos maksājumos, nākamo avansa daļu izmaksājot pēc tam, kad iepriekšējā ir apgūta pilnā apmērā. Avansa maksājuma apmērs nevar pārsniegt 50 procentus no projektam pieejamā Atveseļošanas fonda finansējuma apmēra un tas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minētajam finansējuma saņēmējam ir jāizmanto sešu mēnešu laikā no tā saņemšanas dienas saimnieciskā gada ietvaros, bet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minētajam finansējuma saņēmējam – sešu mēnešu laikā no tā saņemšanas dienas. Avansa izmantošanas termiņu var pagarināt, iesniedzot aģentūrai pamatojumu termiņa pagarināšanai;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avansa noteikšanu 50% apmērā arī privātā sektora finansējuma saņēmējam, ņemot vērā, ka atbilstoši FM Atveseļošanas fonda vadlīniju Nr.1 "Vadlīnijas informatīvā ziņojuma vai Ministru kabineta noteikumu izstrādei par Eiropas Savienības Atveseļošanas un noturības mehānisma plāna reformas vai investīcijas ieviešanu" 70.punktam, avansu ieteicams plānot ne lielāku par 30%, lai mazinātu publiskā finansējuma izlietojuma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privātā sektora projekta iesniedzējam būs pieejama informācija, kas tiek prasīta 3.3. un 3.8.kvalitātes kritērijā, t.i. vai šāda prasība neradīs papildus administratīvo slogu privātā sektora projektu iesniedzējam pieprasot informāciju no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3.9.kvalitātes kritērija apakškritēriju (īpaši 3.9.1.kritērija) attiecināmību uz privātā sektora projektu iesniedzējiem, ņemot vērā, ka privātā sektora projekta iesniedzējiem šķietami nebūs iespējams savākt maksimāli norādīto punktu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attiecībā uz 3.1. un 3.2.kritēriju, vai var iestāties risks, ka gadījumā, ja vērtējums tiek noteikts pēc 2022.gada Centrālās statistikas pārvaldes datiem, iesniedzējs var pamatot, ka informācija ir novecojusi un neaktuāla, un ir pieejami jaunāki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13.05.2024.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13.05.2024.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Atzinumi_24-TA-516.docx</dc:title>
</cp:coreProperties>
</file>

<file path=docProps/custom.xml><?xml version="1.0" encoding="utf-8"?>
<Properties xmlns="http://schemas.openxmlformats.org/officeDocument/2006/custom-properties" xmlns:vt="http://schemas.openxmlformats.org/officeDocument/2006/docPropsVTypes"/>
</file>