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iekļaujošās izglītības attīstību visās izglītības pakāpēs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aprakstošajā daļā skaidrots, ka iekļaujošas izglītības nodrošināšanai izglītības iestādēs trūkst atbalsta personāls (izglītības psihologi, logopēdi, speciālie pedagogi u.c.). Vienlaikus ziņojuma 20.uzdevums paredz nodrošinot piemaksu izglītības iestāžu vadītājiem (desmit procentu apmērā no mēneša darba algas), kurās ir speciālās izglītības klases un speciālās izglītības grupas, t.sk. grupas izglītojamiem ar invaliditāti. Lūdzam skaidrot, kā ziņojumā iekļautā 20.uzdevuma īstenošana veicinās iekļaujošas izglītības attīstību, ja netiek stiprināts atbalsta personāla trūkums, vienlaikus ņemot vērā, ka no ziņojuma tika izslēgts uzdevums, kas paredzēja nodrošināt papildu finansējumu vispārējās pamatizglītības un vispārējās vidējās izglītības iestāžu pedagoģiskajam personālam, kas daļēji risinātu ziņojumā aprakstītos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Beinare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29.05.2025.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29.05.2025.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Atzinumi_25-TA-539.docx</dc:title>
</cp:coreProperties>
</file>

<file path=docProps/custom.xml><?xml version="1.0" encoding="utf-8"?>
<Properties xmlns="http://schemas.openxmlformats.org/officeDocument/2006/custom-properties" xmlns:vt="http://schemas.openxmlformats.org/officeDocument/2006/docPropsVTypes"/>
</file>