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24-TA-2818: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pasākumiem administratīvā sloga mazināšanai nekustamā īpašuma attīstīšanas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arī LDDK) ir iepazinusies Ekonomikas ministrijas (turpmāk arī EM) izstrādāto projektu “Informatīvais ziņojums par papildu pasākumiem administratīvā sloga mazināšanai nekustamā īpašuma attīstīšanas jomā" (turpmāk Projekts) un iebilst pret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minēts, ka vairākas institūcijas, kā iemeslu slēpt patieso īpašuma atsavināšanas vērtību, min vēlmi slēpt ienākumus, lai izvairītos no iedzīvotāju ienākuma nodokļa samaksas par tā saucamo kapitāla “pieaugumu”. Bet projekts neietver priekšlikumu atteikties no šī nodokļa veida. Papildus jānorāda, ka pēc būtības atsavināšanas darījumā nav kapitāla pieauguma, jo personas saldo nemainās – pirms darījuma personai ir atsavināmais nekustamais īpašums, pēc darījuma naudas līdzekļi tā vērtībā.  Otrs būtiskais aspekts - tā saucamais kapitāla “pieauguma” nodoklis apgrūtina un sadārdzina mājokļa apriti.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Esošais normatīvais regulējums viendzīvokļu dzīvojamās mājas, kuru platība pārsniedz 60 kvadrātmetrus, ietver tajā pašā grupā, kurā piecstāvu daudzdzīvokļu ēkas. Šādām būvēm ir būtiski atšķirīga gan būvniecības sarežģītības pakāpe, gan iespējamā ietekme uz cilvēku dzīvību, veselību un vidi. Ir acīmredzami, ka viendzīvokļu dzīvojamām ēkām 1.grupas tvērums ir jāpalielina vismaz līdz 150 kvadrātmetriem un līdz diviem stāviem, vai arī jāveido atsevišķa 1A grupa ar īpaši viendzīvokļu dzīvojamām ēkām paredzētiem nosacījumiem. Tomēr Projekts neparedz šai problēmai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28.11.2024. 21.40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28.11.2024. 21.40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Atzinumi_24-TA-2818.docx</dc:title>
</cp:coreProperties>
</file>

<file path=docProps/custom.xml><?xml version="1.0" encoding="utf-8"?>
<Properties xmlns="http://schemas.openxmlformats.org/officeDocument/2006/custom-properties" xmlns:vt="http://schemas.openxmlformats.org/officeDocument/2006/docPropsVTypes"/>
</file>