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B2FC0" w14:textId="77777777" w:rsidR="00C43507" w:rsidRDefault="00C43507" w:rsidP="00C43507">
      <w:pPr>
        <w:rPr>
          <w:rFonts w:asciiTheme="minorHAnsi" w:hAnsiTheme="minorHAnsi" w:cstheme="minorBidi"/>
        </w:rPr>
      </w:pPr>
    </w:p>
    <w:p w14:paraId="4F838495" w14:textId="77777777" w:rsidR="00C43507" w:rsidRPr="00C43507" w:rsidRDefault="00C43507" w:rsidP="00C43507">
      <w:pPr>
        <w:rPr>
          <w:rFonts w:eastAsia="Times New Roman"/>
          <w:lang w:eastAsia="lv-LV"/>
        </w:rPr>
      </w:pPr>
      <w:r w:rsidRPr="00C43507">
        <w:rPr>
          <w:rFonts w:eastAsia="Times New Roman"/>
          <w:b/>
          <w:bCs/>
          <w:lang w:eastAsia="lv-LV"/>
        </w:rPr>
        <w:t>From:</w:t>
      </w:r>
      <w:r w:rsidRPr="00C43507">
        <w:rPr>
          <w:rFonts w:eastAsia="Times New Roman"/>
          <w:lang w:eastAsia="lv-LV"/>
        </w:rPr>
        <w:t xml:space="preserve"> Sandis Vilcāns &lt;Sandis.Vilcans@tm.gov.lv&gt; </w:t>
      </w:r>
      <w:r w:rsidRPr="00C43507">
        <w:rPr>
          <w:rFonts w:eastAsia="Times New Roman"/>
          <w:lang w:eastAsia="lv-LV"/>
        </w:rPr>
        <w:br/>
      </w:r>
      <w:r w:rsidRPr="00C43507">
        <w:rPr>
          <w:rFonts w:eastAsia="Times New Roman"/>
          <w:b/>
          <w:bCs/>
          <w:lang w:eastAsia="lv-LV"/>
        </w:rPr>
        <w:t>Sent:</w:t>
      </w:r>
      <w:r w:rsidRPr="00C43507">
        <w:rPr>
          <w:rFonts w:eastAsia="Times New Roman"/>
          <w:lang w:eastAsia="lv-LV"/>
        </w:rPr>
        <w:t xml:space="preserve"> Tuesday, September 14, 2021 10:53 AM</w:t>
      </w:r>
      <w:r w:rsidRPr="00C43507">
        <w:rPr>
          <w:rFonts w:eastAsia="Times New Roman"/>
          <w:lang w:eastAsia="lv-LV"/>
        </w:rPr>
        <w:br/>
      </w:r>
      <w:r w:rsidRPr="00C43507">
        <w:rPr>
          <w:rFonts w:eastAsia="Times New Roman"/>
          <w:b/>
          <w:bCs/>
          <w:lang w:eastAsia="lv-LV"/>
        </w:rPr>
        <w:t>To:</w:t>
      </w:r>
      <w:r w:rsidRPr="00C43507">
        <w:rPr>
          <w:rFonts w:eastAsia="Times New Roman"/>
          <w:lang w:eastAsia="lv-LV"/>
        </w:rPr>
        <w:t xml:space="preserve"> Jānis Kalniņš &lt;Janis.Kalnins@sam.gov.lv&gt;; Satiksmes ministrija &lt;satiksmes.ministrija@sam.gov.lv&gt;</w:t>
      </w:r>
      <w:r w:rsidRPr="00C43507">
        <w:rPr>
          <w:rFonts w:eastAsia="Times New Roman"/>
          <w:lang w:eastAsia="lv-LV"/>
        </w:rPr>
        <w:br/>
      </w:r>
      <w:r w:rsidRPr="00C43507">
        <w:rPr>
          <w:rFonts w:eastAsia="Times New Roman"/>
          <w:b/>
          <w:bCs/>
          <w:lang w:eastAsia="lv-LV"/>
        </w:rPr>
        <w:t>Subject:</w:t>
      </w:r>
      <w:r w:rsidRPr="00C43507">
        <w:rPr>
          <w:rFonts w:eastAsia="Times New Roman"/>
          <w:lang w:eastAsia="lv-LV"/>
        </w:rPr>
        <w:t xml:space="preserve"> Re: Atkārtota 5 dienu saskaņošana par MK noteikumu projektu "Par transportlīdzekļa vadīšanu apreibinošu vielu ietekmē sodītas personas uzvedības korekcijas programmas noteikumi" (VSS-942 )</w:t>
      </w:r>
    </w:p>
    <w:p w14:paraId="03822BF0" w14:textId="77777777" w:rsidR="00C43507" w:rsidRDefault="00C43507" w:rsidP="00C43507"/>
    <w:p w14:paraId="33DC4791"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Labdien!</w:t>
      </w:r>
    </w:p>
    <w:p w14:paraId="24B2540E" w14:textId="77777777" w:rsidR="00C43507" w:rsidRDefault="00C43507" w:rsidP="00C43507">
      <w:pPr>
        <w:jc w:val="both"/>
        <w:rPr>
          <w:rFonts w:ascii="Times New Roman" w:hAnsi="Times New Roman" w:cs="Times New Roman"/>
          <w:sz w:val="24"/>
          <w:szCs w:val="24"/>
        </w:rPr>
      </w:pPr>
    </w:p>
    <w:p w14:paraId="684F5069"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 xml:space="preserve">Tieslietu ministrija ir izskatījusi Satiksmes ministrijas sagatavoto Ministru kabineta noteikumu "Par transportlīdzekļa vadīšanu apreibinošu vielu ietekmē sodītas personas uzvedības korekcijas programmas noteikumi" precizēto projektu (turpmāk – projekts) un atbalsta tā tālāku virzību, izsakot šādus </w:t>
      </w:r>
      <w:r>
        <w:rPr>
          <w:rFonts w:ascii="Times New Roman" w:hAnsi="Times New Roman" w:cs="Times New Roman"/>
          <w:b/>
          <w:bCs/>
          <w:sz w:val="24"/>
          <w:szCs w:val="24"/>
        </w:rPr>
        <w:t>iebildumus</w:t>
      </w:r>
      <w:r>
        <w:rPr>
          <w:rFonts w:ascii="Times New Roman" w:hAnsi="Times New Roman" w:cs="Times New Roman"/>
          <w:sz w:val="24"/>
          <w:szCs w:val="24"/>
        </w:rPr>
        <w:t xml:space="preserve">: </w:t>
      </w:r>
    </w:p>
    <w:p w14:paraId="45CCB63E" w14:textId="77777777" w:rsidR="00C43507" w:rsidRDefault="00C43507" w:rsidP="00C43507">
      <w:pPr>
        <w:jc w:val="both"/>
        <w:rPr>
          <w:rFonts w:ascii="Times New Roman" w:hAnsi="Times New Roman" w:cs="Times New Roman"/>
          <w:sz w:val="24"/>
          <w:szCs w:val="24"/>
        </w:rPr>
      </w:pPr>
    </w:p>
    <w:p w14:paraId="59784A27"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1. Viens no uzdevumiem, kas saistīts ar transportlīdzekļu vadīšanas tiesību piešķiršanu, ir uzvedības korekcijas programmu organizēšana un īstenošana tiem transportlīdzekļu vadītājiem, kuri sodīti par transportlīdzekļa vadīšanu alkohola reibumā vai narkotisko vai citu apreibinošo vielu ietekmē un kuram pirmstermiņa veselības pārbaudē nekonstatē alkohola, narkotisko vai psihotropo vielu pārmērīgu, kaitējošu lietošanu vai atkarību. Saskaņā ar Ceļu satiksmes likuma 22. panta pirmās daļas 3.</w:t>
      </w:r>
      <w:r>
        <w:rPr>
          <w:rFonts w:ascii="Times New Roman" w:hAnsi="Times New Roman" w:cs="Times New Roman"/>
          <w:sz w:val="24"/>
          <w:szCs w:val="24"/>
          <w:vertAlign w:val="superscript"/>
        </w:rPr>
        <w:t>1</w:t>
      </w:r>
      <w:r>
        <w:rPr>
          <w:rFonts w:ascii="Times New Roman" w:hAnsi="Times New Roman" w:cs="Times New Roman"/>
          <w:sz w:val="24"/>
          <w:szCs w:val="24"/>
        </w:rPr>
        <w:t> punktu uzvedības korekcijas programmas organizēšanas, norises un apmaksas kārtību nosaka Ministru kabinets. Šādas uzvedības korekcijas programmas organizēšana un īstenošana ir valsts pārvaldes uzdevums.</w:t>
      </w:r>
    </w:p>
    <w:p w14:paraId="76C1AE01"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No projekta satura un izziņas par atzinumos sniegtajiem iebildumiem izriet, ka Satiksmes ministrijas ieskatā starp organizētāju un valsti pastāv publiski tiesiskas attiecības, tomēr tas pats par sevi vēl neparedz pārvaldes uzdevumu deleģēšanu. Savukārt starp organizētāju un transportlīdzekļa vadītāju pastāv privāttiesiskas attiecības.</w:t>
      </w:r>
    </w:p>
    <w:p w14:paraId="7F3D5585"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Piekrītot tam, ka starp organizētāju un valsti pastāv publiski tiesiskas attiecības, tomēr organizētājs (privātpersona) šajā gadījumā veic pārvaldes uzdevumu, proti, organizē uzvedības korekcijas programmas grupu nodarbības. Tādējādi organizētājam šī pārvaldes uzdevuma īstenošana ir jānodod atbilstošā veidā (piemēram, deleģēšanas procedūra). Pašreizējā projekta redakcija nesatur visu deleģēšanas procedūrai nepieciešamo regulējumu.</w:t>
      </w:r>
    </w:p>
    <w:p w14:paraId="6F06C494"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Apgalvojumam, ka starp organizētāju un privātpersonu pastāv privāttiesiskas attiecības, nav pamatojuma. Ministru kabineta noteikumi nevar noteikt tiesisko attiecību raksturu. To varētu darīt likumdevējs, taču arī likumdevēja rīcības brīvība nav absolūta (</w:t>
      </w:r>
      <w:proofErr w:type="spellStart"/>
      <w:r>
        <w:rPr>
          <w:rFonts w:ascii="Times New Roman" w:hAnsi="Times New Roman" w:cs="Times New Roman"/>
          <w:i/>
          <w:iCs/>
          <w:sz w:val="24"/>
          <w:szCs w:val="24"/>
        </w:rPr>
        <w:t>Danovskis</w:t>
      </w:r>
      <w:proofErr w:type="spellEnd"/>
      <w:r>
        <w:rPr>
          <w:rFonts w:ascii="Times New Roman" w:hAnsi="Times New Roman" w:cs="Times New Roman"/>
          <w:i/>
          <w:iCs/>
          <w:sz w:val="24"/>
          <w:szCs w:val="24"/>
        </w:rPr>
        <w:t xml:space="preserve"> E. Publisko un privāto tiesību dalījuma nozīme un piemērošanas problēmas Latvijā. Rīga: Latvijas Vēstnesis, 2015, 187., 191. lpp.)</w:t>
      </w:r>
      <w:r>
        <w:rPr>
          <w:rFonts w:ascii="Times New Roman" w:hAnsi="Times New Roman" w:cs="Times New Roman"/>
          <w:sz w:val="24"/>
          <w:szCs w:val="24"/>
        </w:rPr>
        <w:t>.</w:t>
      </w:r>
    </w:p>
    <w:p w14:paraId="71B045F1"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Tāpat, ja likumdevējs nav noteicis detalizētāku regulējumu, tad jāpieņem, ka visas tiesiskās attiecības ir ar vienotu raksturu, t. i., tikai publiski tiesiskas vai privāttiesiskas (</w:t>
      </w:r>
      <w:proofErr w:type="spellStart"/>
      <w:r>
        <w:rPr>
          <w:rFonts w:ascii="Times New Roman" w:hAnsi="Times New Roman" w:cs="Times New Roman"/>
          <w:i/>
          <w:iCs/>
          <w:sz w:val="24"/>
          <w:szCs w:val="24"/>
        </w:rPr>
        <w:t>Danovskis</w:t>
      </w:r>
      <w:proofErr w:type="spellEnd"/>
      <w:r>
        <w:rPr>
          <w:rFonts w:ascii="Times New Roman" w:hAnsi="Times New Roman" w:cs="Times New Roman"/>
          <w:i/>
          <w:iCs/>
          <w:sz w:val="24"/>
          <w:szCs w:val="24"/>
        </w:rPr>
        <w:t xml:space="preserve"> E. Publisko un privāto tiesību dalījuma nozīme un piemērošanas problēmas Latvijā. Rīga: Latvijas Vēstnesis, 2015, 191. lpp.)</w:t>
      </w:r>
      <w:r>
        <w:rPr>
          <w:rFonts w:ascii="Times New Roman" w:hAnsi="Times New Roman" w:cs="Times New Roman"/>
          <w:sz w:val="24"/>
          <w:szCs w:val="24"/>
        </w:rPr>
        <w:t>. Ja valstij ir publiski tiesisks pienākums nodrošināt programmas īstenošanu, tad arī visas pārējās ar šo pienākumu saistītās attiecības ir publiski tiesiskas. Turklāt transportlīdzekļa vadītājam jābūt tiesībām pieprasīt pakalpojumu.</w:t>
      </w:r>
    </w:p>
    <w:p w14:paraId="12782936"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Pat tad, ja pakalpojumus, veicot valsts pārvaldes uzdevumus, privātpersona sniedz saimnieciskās darbības veidā par atlīdzību, pakalpojuma maksu regulē Ministru kabinets (Valsts pārvaldes iekārtas likuma 43.</w:t>
      </w:r>
      <w:r>
        <w:rPr>
          <w:rFonts w:ascii="Times New Roman" w:hAnsi="Times New Roman" w:cs="Times New Roman"/>
          <w:sz w:val="24"/>
          <w:szCs w:val="24"/>
          <w:vertAlign w:val="superscript"/>
        </w:rPr>
        <w:t>1</w:t>
      </w:r>
      <w:r>
        <w:rPr>
          <w:rFonts w:ascii="Times New Roman" w:hAnsi="Times New Roman" w:cs="Times New Roman"/>
          <w:sz w:val="24"/>
          <w:szCs w:val="24"/>
        </w:rPr>
        <w:t> pants). Neatkārtojot Tieslietu ministrijas iepriekšējos atzinumos minētos argumentus, norādām, ka projektā nepieciešams noteikt pakalpojuma maksu.</w:t>
      </w:r>
    </w:p>
    <w:p w14:paraId="26D1BD6F"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 xml:space="preserve">Projektā šobrīd pretēji pilnvarojumam (vēl jo vairāk pretēji </w:t>
      </w:r>
      <w:proofErr w:type="spellStart"/>
      <w:r>
        <w:rPr>
          <w:rFonts w:ascii="Times New Roman" w:hAnsi="Times New Roman" w:cs="Times New Roman"/>
          <w:sz w:val="24"/>
          <w:szCs w:val="24"/>
        </w:rPr>
        <w:t>protokollēmumā</w:t>
      </w:r>
      <w:proofErr w:type="spellEnd"/>
      <w:r>
        <w:rPr>
          <w:rFonts w:ascii="Times New Roman" w:hAnsi="Times New Roman" w:cs="Times New Roman"/>
          <w:sz w:val="24"/>
          <w:szCs w:val="24"/>
        </w:rPr>
        <w:t xml:space="preserve"> piedāvātajam precizētajam pilnvarojumam) norādīts, ka nodarbības notiek par maksu (projekta 16. punkts). Tas nav nedz programmas norises jautājums (projekta III nodaļa), nedz arī ietilpst pilnvarojumā minētajā jēdzienā "kārtība".</w:t>
      </w:r>
    </w:p>
    <w:p w14:paraId="575D035F"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 xml:space="preserve">Ne izziņā, ne projekta anotācijā nav norādīts, ietverot pienācīgu juridisko argumentāciju, kāds uzvedības korekcijas programmas īstenošanas modelis ir izraudzīts un kā tas atbilst pastāvošajam tiesiskajam regulējumam. Tieslietu ministrija ir aicinājusi pievērst uzmanību šiem jautājumiem jau no projekta sagatavošanas pirmsākumiem 2020. gada vasarā, kā arī norādījusi </w:t>
      </w:r>
      <w:r>
        <w:rPr>
          <w:rFonts w:ascii="Times New Roman" w:hAnsi="Times New Roman" w:cs="Times New Roman"/>
          <w:sz w:val="24"/>
          <w:szCs w:val="24"/>
        </w:rPr>
        <w:lastRenderedPageBreak/>
        <w:t>iespējamos programmas īstenošanas modeļus. Satiksmes ministrija var izraudzīties arī kādu citu veidu, kā īstenot programmu, ja tāds pastāv un atbilst Latvijas tiesību sistēmai, taču ir nepieciešama skaidra norāde par tiesisko attiecību raksturu un juridisks pamatojums. Jebkurā gadījumā k</w:t>
      </w:r>
      <w:r>
        <w:rPr>
          <w:rFonts w:ascii="Times New Roman" w:hAnsi="Times New Roman" w:cs="Times New Roman"/>
          <w:sz w:val="24"/>
          <w:szCs w:val="24"/>
          <w:lang/>
        </w:rPr>
        <w:t>atrs no veidiem, kādā iespējams organizēt publiski tiesiskā funkcijā ietilpstoša uzdevuma izpildi, prasa ievērot attiecīgajam veidam paredzēto regulējumu. Tāpēc,</w:t>
      </w:r>
      <w:r>
        <w:rPr>
          <w:rFonts w:ascii="Times New Roman" w:hAnsi="Times New Roman" w:cs="Times New Roman"/>
          <w:sz w:val="24"/>
          <w:szCs w:val="24"/>
        </w:rPr>
        <w:t xml:space="preserve"> līdzko ir izdarīta izvēle </w:t>
      </w:r>
      <w:proofErr w:type="spellStart"/>
      <w:r>
        <w:rPr>
          <w:rFonts w:ascii="Times New Roman" w:hAnsi="Times New Roman" w:cs="Times New Roman"/>
          <w:sz w:val="24"/>
          <w:szCs w:val="24"/>
        </w:rPr>
        <w:t>īs</w:t>
      </w:r>
      <w:proofErr w:type="spellEnd"/>
      <w:r>
        <w:rPr>
          <w:rFonts w:ascii="Times New Roman" w:hAnsi="Times New Roman" w:cs="Times New Roman"/>
          <w:sz w:val="24"/>
          <w:szCs w:val="24"/>
          <w:lang/>
        </w:rPr>
        <w:t>tenot</w:t>
      </w:r>
      <w:r>
        <w:rPr>
          <w:rFonts w:ascii="Times New Roman" w:hAnsi="Times New Roman" w:cs="Times New Roman"/>
          <w:sz w:val="24"/>
          <w:szCs w:val="24"/>
        </w:rPr>
        <w:t xml:space="preserve"> uzdevumu</w:t>
      </w:r>
      <w:r>
        <w:rPr>
          <w:rFonts w:ascii="Times New Roman" w:hAnsi="Times New Roman" w:cs="Times New Roman"/>
          <w:sz w:val="24"/>
          <w:szCs w:val="24"/>
          <w:lang/>
        </w:rPr>
        <w:t>  kādā  konkrētā  veidā, ir pienākums ievērot šī veida īstenošanai tiesību normās izvirzītās prasības un ierobežojumus</w:t>
      </w:r>
      <w:r>
        <w:rPr>
          <w:rFonts w:ascii="Times New Roman" w:hAnsi="Times New Roman" w:cs="Times New Roman"/>
          <w:sz w:val="24"/>
          <w:szCs w:val="24"/>
        </w:rPr>
        <w:t xml:space="preserve"> (</w:t>
      </w:r>
      <w:r>
        <w:rPr>
          <w:rFonts w:ascii="Times New Roman" w:hAnsi="Times New Roman" w:cs="Times New Roman"/>
          <w:i/>
          <w:iCs/>
          <w:sz w:val="24"/>
          <w:szCs w:val="24"/>
        </w:rPr>
        <w:t>sal. Senāta Administratīvo lietu departamenta 2020. gada 10. jūlija sprieduma lietā Nr. SKA-323/2020 11. punkts</w:t>
      </w:r>
      <w:r>
        <w:rPr>
          <w:rFonts w:ascii="Times New Roman" w:hAnsi="Times New Roman" w:cs="Times New Roman"/>
          <w:sz w:val="24"/>
          <w:szCs w:val="24"/>
        </w:rPr>
        <w:t>).</w:t>
      </w:r>
    </w:p>
    <w:p w14:paraId="26572842"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Projekta anotācijā norādīts, ka "lielākā daļa ar vadīšanas tiesību iegūšanas vai atgūšanas procedūrām (pakalpojumiem) noteiktās maksas nosaka šo pakalpojumu sniedzēji paši un tās nav noteiktas Ministru kabineta līmenī, piemēram – apmācības maksas autoskolās, veselības pārbaužu maksas, pirmās palīdzības apmācības maksas, pirmstermiņa veselības pārbaužu maksas u. tml.". Šādam argumentam nav juridiskas nozīmes. Katrai procedūrai (pakalpojumam) ir savs regulējums likumā, turklāt šobrīd netiek vērtēta citu pakalpojumu organizēšanas vai sniegšanas tiesiskums.</w:t>
      </w:r>
    </w:p>
    <w:p w14:paraId="78B03028"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Satiksmes ministrijas minētais pakalpojuma sniegšanas modelis būtībā nav piemērots tāda ietekmēšanas līdzekļa īstenošanai kā projektā regulētā uzvedības korekcijas programma.</w:t>
      </w:r>
    </w:p>
    <w:p w14:paraId="1A3479FA" w14:textId="77777777" w:rsidR="00C43507" w:rsidRDefault="00C43507" w:rsidP="00C43507">
      <w:pPr>
        <w:jc w:val="both"/>
        <w:rPr>
          <w:rFonts w:ascii="Times New Roman" w:hAnsi="Times New Roman" w:cs="Times New Roman"/>
          <w:sz w:val="24"/>
          <w:szCs w:val="24"/>
        </w:rPr>
      </w:pPr>
    </w:p>
    <w:p w14:paraId="6A3820A4"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 xml:space="preserve">2. Ievērojot arī atzinuma 1. punktā izteiktos argumentus, Tieslietu ministrija neatbalsta Ministru kabineta sēdes </w:t>
      </w:r>
      <w:proofErr w:type="spellStart"/>
      <w:r>
        <w:rPr>
          <w:rFonts w:ascii="Times New Roman" w:hAnsi="Times New Roman" w:cs="Times New Roman"/>
          <w:sz w:val="24"/>
          <w:szCs w:val="24"/>
        </w:rPr>
        <w:t>protokollēmuma</w:t>
      </w:r>
      <w:proofErr w:type="spellEnd"/>
      <w:r>
        <w:rPr>
          <w:rFonts w:ascii="Times New Roman" w:hAnsi="Times New Roman" w:cs="Times New Roman"/>
          <w:sz w:val="24"/>
          <w:szCs w:val="24"/>
        </w:rPr>
        <w:t xml:space="preserve"> projektā ietverto uzdevumu sagatavot grozījumus Ceļu satiksmes likuma 22. panta pirmās daļas 3.</w:t>
      </w:r>
      <w:r>
        <w:rPr>
          <w:rFonts w:ascii="Times New Roman" w:hAnsi="Times New Roman" w:cs="Times New Roman"/>
          <w:sz w:val="24"/>
          <w:szCs w:val="24"/>
          <w:vertAlign w:val="superscript"/>
        </w:rPr>
        <w:t>1</w:t>
      </w:r>
      <w:r>
        <w:rPr>
          <w:rFonts w:ascii="Times New Roman" w:hAnsi="Times New Roman" w:cs="Times New Roman"/>
          <w:sz w:val="24"/>
          <w:szCs w:val="24"/>
        </w:rPr>
        <w:t> punktā, svītrojot normu par uzdevumu Ministru kabinetam noteikt uzvedības korekcijas programmas apmaksas kārtību. Minētie grozījumi nav ne pietiekami, lai īstenotu Satiksmes ministrijas izvēlēto uzvedības korekcijas programmas īstenošanu modeli, kā arī tie būtībā nerisina pakalpojuma maksas jautājumu.</w:t>
      </w:r>
    </w:p>
    <w:p w14:paraId="064935F5" w14:textId="77777777" w:rsidR="00C43507" w:rsidRDefault="00C43507" w:rsidP="00C43507">
      <w:pPr>
        <w:jc w:val="both"/>
        <w:rPr>
          <w:rFonts w:ascii="Times New Roman" w:hAnsi="Times New Roman" w:cs="Times New Roman"/>
          <w:sz w:val="24"/>
          <w:szCs w:val="24"/>
        </w:rPr>
      </w:pPr>
    </w:p>
    <w:p w14:paraId="41A7AD94"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3. Projekta 4. punktā paredzēts, ka uzvedības korekcijas programmas grupu nodarbības nodrošina fiziska vai juridiska persona (turpmāk – organizētājs), kura satiksmes ministra izveidotai organizētāju atlases komisijai "atbilstoši šo noteikumu 5. punktā noteiktajiem kritērijiem ir apliecinājusi spēju vadīt nodarbības".</w:t>
      </w:r>
    </w:p>
    <w:p w14:paraId="58BADBBC"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Projekta 5. punktā ir noteikti kritēriji, kādiem jāatbilst organizētājam, proti: 1) ir iesniegta komisijai informācija par telpu pieejamību nodarbību vadīšanai, kas atbilst būvnormatīvu, ugunsdrošības un higiēnas noteikumu prasībām; 2) ir iesniegta komisijai informācija par speciālistu pieejamību ar šo noteikumu 7. punktā noteikto izglītību; 3) ir iesniegts komisijai detalizēts uzvedības programmas apraksts, kā arī  komisijai rakstiski apliecināta spēja vadīt nodarbības atbilstoši šo noteikumu pielikumā minētajai programmai.</w:t>
      </w:r>
    </w:p>
    <w:p w14:paraId="138C9464"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3.1. Projekta 4. un 5. punkts daļēji regulē vienus un tos pašus jautājumus, kā arī regulējums kopumā nav pietiekami skaidrs.</w:t>
      </w:r>
    </w:p>
    <w:p w14:paraId="132572AF"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 xml:space="preserve">Normatīvajā aktā neietver normas, kas dublē pašā normatīvā akta projektā ietverto regulējumu (Ministru kabineta 2009. gada 3. februāra noteikumu Nr. 108 "Normatīvo aktu projektu sagatavošanas noteikumi" 3.3. apakšpunkts). Projekta 4. punkts paredz, ka organizētājam ir jāapliecina spēja vadīt nodarbības. Savukārt projekta 5.3. apakšpunktā arī ir paredzēts, ka organizētājs rakstiski apliecina spēju vadīt nodarbības. </w:t>
      </w:r>
    </w:p>
    <w:p w14:paraId="1EAD5973"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Vienlaikus minētais regulējums ir pretrunīgs un neskaidrs. No projekta 4. punkta varētu secināt, ka organizētājam ir jāapliecina spēja vadīt nodarbības atbilstoši šo noteikumu 5. punktā noteiktajiem kritērijiem. Citiem vārdiem, organizētājam ir jāatbilst visiem projekta 5. punktā minētajiem kritērijiem. Turpretī projekta 5.3. apakšpunktā kā viens no kritērijiem arī ir minēts organizētāja rakstisks apliecinājums spējai vadīt nodarbības atbilstoši šo noteikumu pielikumā minētajai programmai.</w:t>
      </w:r>
    </w:p>
    <w:p w14:paraId="7B4D5B41"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Ja kritēriju uzskaitījums ir ietverts projekta 5. punktā, tad projekta 4. punktā kritēriji nav jānorāda un nav jālieto arī tādas pašas vārdiskās izteiksmes, kādas izmantotas kritēriju uzskaitījumā.</w:t>
      </w:r>
    </w:p>
    <w:p w14:paraId="61B2BB95"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 xml:space="preserve">3.2. Nav skaidrs, ko tieši ietver projekta 5.3. apakšpunktā minētais apliecinājums spējai vadīt nodarbības atbilstoši projekta pielikumā minētajai programmai. No projekta 4. punktā varētu secināt, ka spēju vadīt nodarbības apliecina atbilstība projekta 5. punktā paredzētajiem kritērijiem. Tomēr projekta 5.3. apakšpunktā paredzēts īpašs rakstveida apliecinājums ar nenoteiktu saturu, </w:t>
      </w:r>
      <w:r>
        <w:rPr>
          <w:rFonts w:ascii="Times New Roman" w:hAnsi="Times New Roman" w:cs="Times New Roman"/>
          <w:sz w:val="24"/>
          <w:szCs w:val="24"/>
        </w:rPr>
        <w:lastRenderedPageBreak/>
        <w:t>neskaidru nozīmi un nepieciešamību. Projekta anotācijā nav ietverts skaidrojums, kāds ir šāda apliecinājuma saturs un kāpēc tāds nepieciešams, ja spējai vadīt nodarbības būtu jāizriet jau no tā, ka organizētājs atbilst pārējiem kritējiem un ir izteicis vēlmi vadīt nodarbības.</w:t>
      </w:r>
    </w:p>
    <w:p w14:paraId="20D31D6B"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3.3. Projekta 5.2. apakšpunkts paredz prasību iesniegt informāciju par speciālistu pieejamību ar projekta 7. punktā noteikto izglītību. Tomēr projekta 7. punkts vismaz ne tiešā veidā neparedz izglītības prasības, kā arī šajā punktā ir ietverta prasība, ka speciālistam nepieciešama vismaz 2 gadu pieredze grupu nodarbību personām ar atkarībām vadīšanā. Tādējādi projekta 7. punkts paredz arī pieredzes kritēriju, bet projekta 5.2. apakšpunktā nav paredzēta prasība iesniegt informāciju par atbilstību šim kritērijam.</w:t>
      </w:r>
    </w:p>
    <w:p w14:paraId="5E1C66FD"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Vienlaikus vēršam uzmanību, ka projekta anotācijā nepieciešams pamatojums, kāpēc projekta 7. punktā ir ietverta tieši 2 gadu pieredzes nepieciešamība. Projekta anotācijā ir norādīts: "Ņemot vērā, ka uzvedības korekcijas grupu nodarbību vadīšana ir saistīta ar darbu specifiskai auditorijai (personas, kuras vadījušas transportlīdzekli alkohola reibumā, nodarbības netiek apmeklētas brīvprātīgi, bet gan, lai atgūtu transportlīdzekļu vadīšanas tiesības), speciālistiem, kas vadītu šādas nodarbības ir nepieciešama iepriekšēja pieredze darbā ar personām, kurām ir atkarība." Tāds skaidrojums attiecas uz pieredzes nepieciešamību kā tādu, tomēr tas nepamato vēlamās pieredzes ilgumu.</w:t>
      </w:r>
    </w:p>
    <w:p w14:paraId="02A7DEF1"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3.4. Projekta 5.1. un 5.2. apakšpunktā ietverta prasība iesniegt informāciju par telpu un speciālistu pieejamību. Projekta anotācijā nepieciešams skaidrojums, kāds ir šīs informācijas minimāli nepieciešamais saturs, to apliecinošie dokumenti u. tml.</w:t>
      </w:r>
    </w:p>
    <w:p w14:paraId="7D206DA8"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3.5. Projekta vienā punktā ieteicams iekļaut tikai vienu normu – objektīvu, loģiski noslēgtu ideālu vienību, kas sastāv no visiem nepieciešamajiem un tai pašā laikā pietiekamiem normatīvajiem priekšnoteikumiem, kas vajadzīgi, lai iestātos tiesiskās sekas (</w:t>
      </w:r>
      <w:proofErr w:type="spellStart"/>
      <w:r>
        <w:rPr>
          <w:rFonts w:ascii="Times New Roman" w:hAnsi="Times New Roman" w:cs="Times New Roman"/>
          <w:i/>
          <w:iCs/>
          <w:sz w:val="24"/>
          <w:szCs w:val="24"/>
        </w:rPr>
        <w:t>Rezevska</w:t>
      </w:r>
      <w:proofErr w:type="spellEnd"/>
      <w:r>
        <w:rPr>
          <w:rFonts w:ascii="Times New Roman" w:hAnsi="Times New Roman" w:cs="Times New Roman"/>
          <w:i/>
          <w:iCs/>
          <w:sz w:val="24"/>
          <w:szCs w:val="24"/>
        </w:rPr>
        <w:t xml:space="preserve"> D. Vispārējo tiesību principu nozīme un piemērošana. Rīga: Daigas </w:t>
      </w:r>
      <w:proofErr w:type="spellStart"/>
      <w:r>
        <w:rPr>
          <w:rFonts w:ascii="Times New Roman" w:hAnsi="Times New Roman" w:cs="Times New Roman"/>
          <w:i/>
          <w:iCs/>
          <w:sz w:val="24"/>
          <w:szCs w:val="24"/>
        </w:rPr>
        <w:t>Rezevskas</w:t>
      </w:r>
      <w:proofErr w:type="spellEnd"/>
      <w:r>
        <w:rPr>
          <w:rFonts w:ascii="Times New Roman" w:hAnsi="Times New Roman" w:cs="Times New Roman"/>
          <w:i/>
          <w:iCs/>
          <w:sz w:val="24"/>
          <w:szCs w:val="24"/>
        </w:rPr>
        <w:t xml:space="preserve"> izdevums, 2015, 52. lpp.</w:t>
      </w:r>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Projekta 4. punktā ir ietvertas vairākas patstāvīgas normas – komisijas izveides un sastāva regulējums un vispārīgs organizētāju atlases regulējums.</w:t>
      </w:r>
    </w:p>
    <w:p w14:paraId="601BC962"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3.6. Saskaņā ar Ministru kabineta 2009. gada 3. februāra noteikumu Nr. 108 "Normatīvo aktu projektu sagatavošanas noteikumi" 102. punktu, ja projekta punktā ietverts uzskaitījums, punktu var iedalīt apakšpunktos, katru uzskaitījuma vienību rakstot atsevišķā apakšpunktā.</w:t>
      </w:r>
    </w:p>
    <w:p w14:paraId="25098F0B"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Neskarot iepriekš norādīto par kritēriju skaidrību un dublēšanos, projekta 5.3. apakšpunktā ir ietvertas divas uzskaitījuma vienības.</w:t>
      </w:r>
    </w:p>
    <w:p w14:paraId="7AC155AF"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Savukārt, piemēram, projekta 7. punktu varētu iedalīt apakšpunktos, lai skaidri iezīmētu speciālistam noteiktos kritērijus.</w:t>
      </w:r>
    </w:p>
    <w:p w14:paraId="66011FB8" w14:textId="77777777" w:rsidR="00C43507" w:rsidRDefault="00C43507" w:rsidP="00C43507">
      <w:pPr>
        <w:jc w:val="both"/>
        <w:rPr>
          <w:rFonts w:ascii="Times New Roman" w:hAnsi="Times New Roman" w:cs="Times New Roman"/>
          <w:sz w:val="24"/>
          <w:szCs w:val="24"/>
        </w:rPr>
      </w:pPr>
    </w:p>
    <w:p w14:paraId="542ACD81" w14:textId="77777777" w:rsidR="00C43507" w:rsidRDefault="00C43507" w:rsidP="00C43507">
      <w:pPr>
        <w:ind w:firstLine="720"/>
        <w:jc w:val="both"/>
        <w:rPr>
          <w:rFonts w:ascii="Times New Roman" w:hAnsi="Times New Roman" w:cs="Times New Roman"/>
          <w:i/>
          <w:iCs/>
          <w:sz w:val="24"/>
          <w:szCs w:val="24"/>
        </w:rPr>
      </w:pPr>
      <w:r>
        <w:rPr>
          <w:rFonts w:ascii="Times New Roman" w:hAnsi="Times New Roman" w:cs="Times New Roman"/>
          <w:sz w:val="24"/>
          <w:szCs w:val="24"/>
        </w:rPr>
        <w:t>4. Projekta anotācijas II sadaļas 1. punktā norādīts: "</w:t>
      </w:r>
      <w:r>
        <w:rPr>
          <w:rFonts w:ascii="Times New Roman" w:hAnsi="Times New Roman" w:cs="Times New Roman"/>
          <w:i/>
          <w:iCs/>
          <w:sz w:val="24"/>
          <w:szCs w:val="24"/>
        </w:rPr>
        <w:t>Saskaņā ar Ceļu satiksmes likuma Pārejas noteikumu 47. punktu likuma 22. panta pirmās daļas 3.</w:t>
      </w:r>
      <w:r>
        <w:rPr>
          <w:rFonts w:ascii="Times New Roman" w:hAnsi="Times New Roman" w:cs="Times New Roman"/>
          <w:i/>
          <w:iCs/>
          <w:sz w:val="24"/>
          <w:szCs w:val="24"/>
          <w:vertAlign w:val="superscript"/>
        </w:rPr>
        <w:t>1</w:t>
      </w:r>
      <w:r>
        <w:rPr>
          <w:rFonts w:ascii="Times New Roman" w:hAnsi="Times New Roman" w:cs="Times New Roman"/>
          <w:i/>
          <w:iCs/>
          <w:sz w:val="24"/>
          <w:szCs w:val="24"/>
        </w:rPr>
        <w:t xml:space="preserve"> punkts (Transportlīdzekļa vadītājs, kurš sodīts par transportlīdzekļa vadīšanu alkohola reibumā vai narkotisko vai citu apreibinošo vielu ietekmē un kuram pirmstermiņa veselības pārbaudē nekonstatē alkohola, narkotisko vai psihotropo vielu pārmērīgu, kaitējošu lietošanu vai atkarību, transportlīdzekļu vadīšanas tiesības var atgūt tikai pēc dalības uzvedības korekcijas programmā) stājas spēkā 2021. gada 1. janvārī, savukārt Oficiālo publikāciju un tiesiskās informācijas likuma 9. panta ceturtā daļa nosaka, ka normatīvajam aktam vai tā daļai nav atpakaļejoša spēka, izņemot likumā īpaši paredzētus gadījumus. </w:t>
      </w:r>
    </w:p>
    <w:p w14:paraId="091AAAC7" w14:textId="77777777" w:rsidR="00C43507" w:rsidRDefault="00C43507" w:rsidP="00C43507">
      <w:pPr>
        <w:jc w:val="both"/>
        <w:rPr>
          <w:rFonts w:ascii="Times New Roman" w:hAnsi="Times New Roman" w:cs="Times New Roman"/>
          <w:sz w:val="24"/>
          <w:szCs w:val="24"/>
        </w:rPr>
      </w:pPr>
      <w:r>
        <w:rPr>
          <w:rFonts w:ascii="Times New Roman" w:hAnsi="Times New Roman" w:cs="Times New Roman"/>
          <w:i/>
          <w:iCs/>
          <w:sz w:val="24"/>
          <w:szCs w:val="24"/>
        </w:rPr>
        <w:t>Līdz ar to Noteikumu projekta regulējums tiks attiecināts uz personām, kuras pēc Noteikumu projekta spēkā stāšanās tiks sodītas par transportlīdzekļa vadīšanu apreibinošo vielu ietekmē un kuras vēlēsies atgūt transportlīdzekļu vadīšanas tiesības.</w:t>
      </w:r>
      <w:r>
        <w:rPr>
          <w:rFonts w:ascii="Times New Roman" w:hAnsi="Times New Roman" w:cs="Times New Roman"/>
          <w:sz w:val="24"/>
          <w:szCs w:val="24"/>
        </w:rPr>
        <w:t>"</w:t>
      </w:r>
    </w:p>
    <w:p w14:paraId="5F1650C2"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Kā jau norādīts iepriekšējos Tieslietu ministrijas atzinumos, nav saprotama projekta piemērošana laikā. Ja uzvedības korekcijas programmu regulējumu piemērotu visiem attiecīgajiem transportlīdzekļu vadītajiem, kas vēlas atgūt transportlīdzekļu vadīšanas tiesības, pēc 2021. gada 1. janvāra, šādā gadījumā regulējums nebūtu bijis piemērots ar atpakaļejošu spēku. Līdz ar to nav skaidra atsauce uz atpakaļejošu spēku un kur tas varētu izpausties saistībā ar projektu.</w:t>
      </w:r>
    </w:p>
    <w:p w14:paraId="762512B7"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 xml:space="preserve">Kopš 2021. gada 1. janvāra pienākums piedalīties uzvedības korekcijas programmā attiecas uz visiem transportlīdzekļu vadītājiem, kuri vēlas atgūt transportlīdzekļu vadīšanas </w:t>
      </w:r>
      <w:r>
        <w:rPr>
          <w:rFonts w:ascii="Times New Roman" w:hAnsi="Times New Roman" w:cs="Times New Roman"/>
          <w:sz w:val="24"/>
          <w:szCs w:val="24"/>
        </w:rPr>
        <w:lastRenderedPageBreak/>
        <w:t>tiesības. Arī tiem transportlīdzekļu vadītājiem, kuri sodīti pirms 2021. gada, ir šāds pienākums. Vienīgais iemesls, kāpēc šobrīd nevar pieprasīt dalību programmā, ir tas, ka Ministru kabinets nav izpildījis savu pienākumu un šādas programmas faktiski neeksistē.</w:t>
      </w:r>
    </w:p>
    <w:p w14:paraId="074BFA6F" w14:textId="77777777" w:rsidR="00C43507" w:rsidRDefault="00C43507" w:rsidP="00C43507">
      <w:pPr>
        <w:ind w:firstLine="720"/>
        <w:jc w:val="both"/>
        <w:rPr>
          <w:rFonts w:ascii="Times New Roman" w:hAnsi="Times New Roman" w:cs="Times New Roman"/>
          <w:sz w:val="24"/>
          <w:szCs w:val="24"/>
        </w:rPr>
      </w:pPr>
      <w:r>
        <w:rPr>
          <w:rFonts w:ascii="Times New Roman" w:hAnsi="Times New Roman" w:cs="Times New Roman"/>
          <w:sz w:val="24"/>
          <w:szCs w:val="24"/>
        </w:rPr>
        <w:t>Turklāt pienākumu piedalīties programmā, ja persona vēlas atgūt transportlīdzekļu vadīšanas tiesības, noteic Ceļu satiksmes likums. Līdz ar to nav nekāda pamata apgalvojumam, ka "Noteikumu projekta regulējums tiks attiecināts uz personām, kuras pēc Noteikumu projekta spēkā stāšanās tiks sodītas par transportlīdzekļa vadīšanu apreibinošo vielu ietekmē un kuras vēlēsies atgūt transportlīdzekļu vadīšanas tiesības".</w:t>
      </w:r>
    </w:p>
    <w:p w14:paraId="08D322DC" w14:textId="77777777" w:rsidR="00C43507" w:rsidRDefault="00C43507" w:rsidP="00C43507">
      <w:pPr>
        <w:ind w:firstLine="720"/>
      </w:pPr>
    </w:p>
    <w:p w14:paraId="26ECFDAF" w14:textId="77777777" w:rsidR="00C43507" w:rsidRDefault="00C43507" w:rsidP="00C43507">
      <w:pPr>
        <w:ind w:firstLine="720"/>
        <w:rPr>
          <w:rFonts w:ascii="Times New Roman" w:hAnsi="Times New Roman" w:cs="Times New Roman"/>
          <w:sz w:val="24"/>
          <w:szCs w:val="24"/>
        </w:rPr>
      </w:pPr>
      <w:r>
        <w:rPr>
          <w:rFonts w:ascii="Times New Roman" w:hAnsi="Times New Roman" w:cs="Times New Roman"/>
          <w:sz w:val="24"/>
          <w:szCs w:val="24"/>
        </w:rPr>
        <w:t>Ar cieņu</w:t>
      </w:r>
    </w:p>
    <w:p w14:paraId="6CCCD90B" w14:textId="77777777" w:rsidR="00C43507" w:rsidRDefault="00C43507" w:rsidP="00C43507">
      <w:pPr>
        <w:rPr>
          <w:lang/>
        </w:rPr>
      </w:pPr>
    </w:p>
    <w:p w14:paraId="09AF7D3A" w14:textId="6CF837DE" w:rsidR="00C43507" w:rsidRDefault="00C43507" w:rsidP="00C43507">
      <w:pPr>
        <w:rPr>
          <w:rFonts w:ascii="Times New Roman" w:hAnsi="Times New Roman" w:cs="Times New Roman"/>
          <w:color w:val="000000"/>
          <w:sz w:val="20"/>
          <w:szCs w:val="20"/>
          <w:lang w:eastAsia="en-GB"/>
        </w:rPr>
      </w:pPr>
      <w:r>
        <w:rPr>
          <w:noProof/>
        </w:rPr>
        <w:drawing>
          <wp:anchor distT="0" distB="0" distL="114300" distR="114300" simplePos="0" relativeHeight="251659264" behindDoc="0" locked="0" layoutInCell="1" allowOverlap="0" wp14:anchorId="1B6F1592" wp14:editId="1F4D2103">
            <wp:simplePos x="0" y="0"/>
            <wp:positionH relativeFrom="column">
              <wp:align>left</wp:align>
            </wp:positionH>
            <wp:positionV relativeFrom="line">
              <wp:posOffset>0</wp:posOffset>
            </wp:positionV>
            <wp:extent cx="1247775" cy="981075"/>
            <wp:effectExtent l="0" t="0" r="9525" b="9525"/>
            <wp:wrapSquare wrapText="bothSides"/>
            <wp:docPr id="1" name="Picture 1" descr="signature_92581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_9258122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9810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00000"/>
          <w:sz w:val="20"/>
          <w:szCs w:val="20"/>
          <w:lang w:eastAsia="en-GB"/>
        </w:rPr>
        <w:t>Sandis Vilcāns</w:t>
      </w:r>
    </w:p>
    <w:p w14:paraId="2C63C1DC" w14:textId="77777777" w:rsidR="00C43507" w:rsidRDefault="00C43507" w:rsidP="00C43507">
      <w:pPr>
        <w:rPr>
          <w:rFonts w:ascii="Times New Roman" w:hAnsi="Times New Roman" w:cs="Times New Roman"/>
          <w:color w:val="000000"/>
          <w:sz w:val="20"/>
          <w:szCs w:val="20"/>
          <w:lang w:eastAsia="en-GB"/>
        </w:rPr>
      </w:pPr>
      <w:r>
        <w:rPr>
          <w:rFonts w:ascii="Times New Roman" w:hAnsi="Times New Roman" w:cs="Times New Roman"/>
          <w:color w:val="000000"/>
          <w:sz w:val="20"/>
          <w:szCs w:val="20"/>
          <w:lang w:eastAsia="en-GB"/>
        </w:rPr>
        <w:t>Tieslietu ministrijas</w:t>
      </w:r>
      <w:r>
        <w:rPr>
          <w:rFonts w:ascii="Times New Roman" w:hAnsi="Times New Roman" w:cs="Times New Roman"/>
          <w:color w:val="000000"/>
          <w:sz w:val="20"/>
          <w:szCs w:val="20"/>
          <w:lang w:eastAsia="en-GB"/>
        </w:rPr>
        <w:br/>
        <w:t>Valststiesību departamenta </w:t>
      </w:r>
      <w:r>
        <w:rPr>
          <w:rFonts w:ascii="Times New Roman" w:hAnsi="Times New Roman" w:cs="Times New Roman"/>
          <w:color w:val="000000"/>
          <w:sz w:val="20"/>
          <w:szCs w:val="20"/>
          <w:lang w:eastAsia="en-GB"/>
        </w:rPr>
        <w:br/>
        <w:t>Administratīvās atbildības politikas nodaļas jurists</w:t>
      </w:r>
      <w:r>
        <w:rPr>
          <w:rFonts w:ascii="Times New Roman" w:hAnsi="Times New Roman" w:cs="Times New Roman"/>
          <w:color w:val="000000"/>
          <w:sz w:val="20"/>
          <w:szCs w:val="20"/>
          <w:lang w:eastAsia="en-GB"/>
        </w:rPr>
        <w:br/>
        <w:t>E-pasts: </w:t>
      </w:r>
      <w:hyperlink r:id="rId8" w:history="1">
        <w:r>
          <w:rPr>
            <w:rStyle w:val="Hyperlink"/>
            <w:rFonts w:ascii="Times New Roman" w:hAnsi="Times New Roman" w:cs="Times New Roman"/>
            <w:sz w:val="20"/>
            <w:szCs w:val="20"/>
            <w:lang w:eastAsia="en-GB"/>
          </w:rPr>
          <w:t>Sandis.Vilcans@tm.gov.lv</w:t>
        </w:r>
      </w:hyperlink>
    </w:p>
    <w:p w14:paraId="0A10D9B6" w14:textId="77777777" w:rsidR="00C43507" w:rsidRDefault="00C43507" w:rsidP="00C43507">
      <w:pPr>
        <w:rPr>
          <w:lang/>
        </w:rPr>
      </w:pPr>
      <w:hyperlink r:id="rId9" w:tooltip="http://www.tm.gov.lv/" w:history="1">
        <w:r>
          <w:rPr>
            <w:rStyle w:val="Hyperlink"/>
            <w:rFonts w:ascii="Times New Roman" w:hAnsi="Times New Roman" w:cs="Times New Roman"/>
            <w:sz w:val="20"/>
            <w:szCs w:val="20"/>
            <w:lang/>
          </w:rPr>
          <w:t>www.tm.gov.lv</w:t>
        </w:r>
      </w:hyperlink>
      <w:r>
        <w:rPr>
          <w:rFonts w:ascii="Times New Roman" w:hAnsi="Times New Roman" w:cs="Times New Roman"/>
          <w:color w:val="000000"/>
          <w:sz w:val="20"/>
          <w:szCs w:val="20"/>
          <w:lang/>
        </w:rPr>
        <w:t> </w:t>
      </w:r>
    </w:p>
    <w:p w14:paraId="437CC4DA" w14:textId="77777777" w:rsidR="00C43507" w:rsidRDefault="00C43507" w:rsidP="00C43507">
      <w:pPr>
        <w:ind w:firstLine="720"/>
      </w:pPr>
    </w:p>
    <w:p w14:paraId="19584FB8" w14:textId="209C55A5" w:rsidR="00E914AF" w:rsidRPr="00402B14" w:rsidRDefault="00E914AF" w:rsidP="003C43F1"/>
    <w:sectPr w:rsidR="00E914AF" w:rsidRPr="00402B14" w:rsidSect="00C53CD0">
      <w:footerReference w:type="first" r:id="rId10"/>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20C12" w14:textId="77777777" w:rsidR="004E44E3" w:rsidRDefault="004E44E3" w:rsidP="00A15B91">
      <w:r>
        <w:separator/>
      </w:r>
    </w:p>
  </w:endnote>
  <w:endnote w:type="continuationSeparator" w:id="0">
    <w:p w14:paraId="54ED7852" w14:textId="77777777" w:rsidR="004E44E3" w:rsidRDefault="004E44E3" w:rsidP="00A15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7ED6" w14:textId="2C07FAE2" w:rsidR="00A15B91" w:rsidRPr="00C43507" w:rsidRDefault="00C43507" w:rsidP="00C43507">
    <w:pPr>
      <w:pStyle w:val="Footer"/>
    </w:pPr>
    <w:r w:rsidRPr="00C43507">
      <w:t>TMatz_140921-korekc.gr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99243" w14:textId="77777777" w:rsidR="004E44E3" w:rsidRDefault="004E44E3" w:rsidP="00A15B91">
      <w:r>
        <w:separator/>
      </w:r>
    </w:p>
  </w:footnote>
  <w:footnote w:type="continuationSeparator" w:id="0">
    <w:p w14:paraId="7CBEC39A" w14:textId="77777777" w:rsidR="004E44E3" w:rsidRDefault="004E44E3" w:rsidP="00A15B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15843"/>
    <w:multiLevelType w:val="hybridMultilevel"/>
    <w:tmpl w:val="5072AA70"/>
    <w:lvl w:ilvl="0" w:tplc="12267DA2">
      <w:start w:val="1"/>
      <w:numFmt w:val="decimal"/>
      <w:lvlText w:val="%1)"/>
      <w:lvlJc w:val="left"/>
      <w:pPr>
        <w:ind w:left="720" w:hanging="360"/>
      </w:pPr>
      <w:rPr>
        <w:rFonts w:ascii="Arial" w:hAnsi="Arial" w:cs="Arial" w:hint="default"/>
        <w:b w:val="0"/>
        <w:bCs/>
        <w:color w:val="000000"/>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77DB565C"/>
    <w:multiLevelType w:val="hybridMultilevel"/>
    <w:tmpl w:val="B61E1F3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E24"/>
    <w:rsid w:val="00001FD2"/>
    <w:rsid w:val="000020F0"/>
    <w:rsid w:val="00002ECE"/>
    <w:rsid w:val="00004BA5"/>
    <w:rsid w:val="00014F0E"/>
    <w:rsid w:val="000263BF"/>
    <w:rsid w:val="00030212"/>
    <w:rsid w:val="00033B04"/>
    <w:rsid w:val="000358D4"/>
    <w:rsid w:val="00035CBB"/>
    <w:rsid w:val="00041684"/>
    <w:rsid w:val="000416D9"/>
    <w:rsid w:val="000509E6"/>
    <w:rsid w:val="0005369C"/>
    <w:rsid w:val="000566E5"/>
    <w:rsid w:val="0006106B"/>
    <w:rsid w:val="0006195E"/>
    <w:rsid w:val="000623D4"/>
    <w:rsid w:val="00066003"/>
    <w:rsid w:val="000704E0"/>
    <w:rsid w:val="000823C2"/>
    <w:rsid w:val="00086F46"/>
    <w:rsid w:val="00087CD0"/>
    <w:rsid w:val="00090142"/>
    <w:rsid w:val="000903CA"/>
    <w:rsid w:val="000A0ED7"/>
    <w:rsid w:val="000A1807"/>
    <w:rsid w:val="000A2377"/>
    <w:rsid w:val="000A5034"/>
    <w:rsid w:val="000B0F84"/>
    <w:rsid w:val="000B1BDB"/>
    <w:rsid w:val="000C0E7C"/>
    <w:rsid w:val="000C208A"/>
    <w:rsid w:val="000D3965"/>
    <w:rsid w:val="000D6D42"/>
    <w:rsid w:val="000E1976"/>
    <w:rsid w:val="000E3FF8"/>
    <w:rsid w:val="000E41AC"/>
    <w:rsid w:val="000E469F"/>
    <w:rsid w:val="000E76CC"/>
    <w:rsid w:val="000F1DC3"/>
    <w:rsid w:val="001026EB"/>
    <w:rsid w:val="00106477"/>
    <w:rsid w:val="001067D9"/>
    <w:rsid w:val="001075AA"/>
    <w:rsid w:val="0011328D"/>
    <w:rsid w:val="00113C5D"/>
    <w:rsid w:val="0011481B"/>
    <w:rsid w:val="001208F2"/>
    <w:rsid w:val="00122662"/>
    <w:rsid w:val="00123E9E"/>
    <w:rsid w:val="00124F4B"/>
    <w:rsid w:val="001311D2"/>
    <w:rsid w:val="00131F7C"/>
    <w:rsid w:val="001352FC"/>
    <w:rsid w:val="00147158"/>
    <w:rsid w:val="00147601"/>
    <w:rsid w:val="0015080D"/>
    <w:rsid w:val="0015213E"/>
    <w:rsid w:val="00153624"/>
    <w:rsid w:val="001536E6"/>
    <w:rsid w:val="00153FCF"/>
    <w:rsid w:val="00155C5F"/>
    <w:rsid w:val="00163E83"/>
    <w:rsid w:val="0018552D"/>
    <w:rsid w:val="00186871"/>
    <w:rsid w:val="001948E0"/>
    <w:rsid w:val="00196570"/>
    <w:rsid w:val="001A2BF4"/>
    <w:rsid w:val="001A5E3D"/>
    <w:rsid w:val="001A63AD"/>
    <w:rsid w:val="001A7F8A"/>
    <w:rsid w:val="001B2F16"/>
    <w:rsid w:val="001B3B01"/>
    <w:rsid w:val="001B55D6"/>
    <w:rsid w:val="001C15CB"/>
    <w:rsid w:val="001C6B70"/>
    <w:rsid w:val="001D07ED"/>
    <w:rsid w:val="001D278B"/>
    <w:rsid w:val="001D3D35"/>
    <w:rsid w:val="001D4453"/>
    <w:rsid w:val="001E211D"/>
    <w:rsid w:val="001E2E8F"/>
    <w:rsid w:val="001E51B4"/>
    <w:rsid w:val="001E6E17"/>
    <w:rsid w:val="001E71B8"/>
    <w:rsid w:val="001F4282"/>
    <w:rsid w:val="001F6CB5"/>
    <w:rsid w:val="00202324"/>
    <w:rsid w:val="00204E5C"/>
    <w:rsid w:val="002100BE"/>
    <w:rsid w:val="00212DC5"/>
    <w:rsid w:val="00212F64"/>
    <w:rsid w:val="00214302"/>
    <w:rsid w:val="00223AB6"/>
    <w:rsid w:val="00230319"/>
    <w:rsid w:val="00230CAC"/>
    <w:rsid w:val="0024282D"/>
    <w:rsid w:val="00252E01"/>
    <w:rsid w:val="00260D4C"/>
    <w:rsid w:val="002714F0"/>
    <w:rsid w:val="002756BF"/>
    <w:rsid w:val="00277516"/>
    <w:rsid w:val="00280725"/>
    <w:rsid w:val="00280C1A"/>
    <w:rsid w:val="00281012"/>
    <w:rsid w:val="00286A2F"/>
    <w:rsid w:val="00286A9D"/>
    <w:rsid w:val="002879EA"/>
    <w:rsid w:val="0029245F"/>
    <w:rsid w:val="002944A2"/>
    <w:rsid w:val="00295366"/>
    <w:rsid w:val="00296450"/>
    <w:rsid w:val="00296ACF"/>
    <w:rsid w:val="002A1AA2"/>
    <w:rsid w:val="002A2716"/>
    <w:rsid w:val="002A63C5"/>
    <w:rsid w:val="002A692B"/>
    <w:rsid w:val="002B4B9F"/>
    <w:rsid w:val="002B61B5"/>
    <w:rsid w:val="002C3535"/>
    <w:rsid w:val="002C4592"/>
    <w:rsid w:val="002C5BFA"/>
    <w:rsid w:val="002C5C21"/>
    <w:rsid w:val="002C5F5C"/>
    <w:rsid w:val="002C6588"/>
    <w:rsid w:val="002D328C"/>
    <w:rsid w:val="002D7614"/>
    <w:rsid w:val="002E12A3"/>
    <w:rsid w:val="002F1C9A"/>
    <w:rsid w:val="002F35C6"/>
    <w:rsid w:val="003008D7"/>
    <w:rsid w:val="00301840"/>
    <w:rsid w:val="00304A30"/>
    <w:rsid w:val="00306C9A"/>
    <w:rsid w:val="003078EA"/>
    <w:rsid w:val="00317484"/>
    <w:rsid w:val="00320DD8"/>
    <w:rsid w:val="00330484"/>
    <w:rsid w:val="003324FF"/>
    <w:rsid w:val="00335F2B"/>
    <w:rsid w:val="00337D91"/>
    <w:rsid w:val="003423E4"/>
    <w:rsid w:val="00345BB9"/>
    <w:rsid w:val="00352468"/>
    <w:rsid w:val="0036072E"/>
    <w:rsid w:val="003655EC"/>
    <w:rsid w:val="00373591"/>
    <w:rsid w:val="0037596C"/>
    <w:rsid w:val="00376C44"/>
    <w:rsid w:val="00383A65"/>
    <w:rsid w:val="003903D8"/>
    <w:rsid w:val="00390B49"/>
    <w:rsid w:val="003930F3"/>
    <w:rsid w:val="00394E47"/>
    <w:rsid w:val="003A0864"/>
    <w:rsid w:val="003A4436"/>
    <w:rsid w:val="003A7972"/>
    <w:rsid w:val="003B04B6"/>
    <w:rsid w:val="003B2B81"/>
    <w:rsid w:val="003C1592"/>
    <w:rsid w:val="003C2AD3"/>
    <w:rsid w:val="003C2BF4"/>
    <w:rsid w:val="003C43F1"/>
    <w:rsid w:val="003C6430"/>
    <w:rsid w:val="003C7689"/>
    <w:rsid w:val="003D1B61"/>
    <w:rsid w:val="003D4207"/>
    <w:rsid w:val="003D5E95"/>
    <w:rsid w:val="003E0342"/>
    <w:rsid w:val="003E0C9F"/>
    <w:rsid w:val="003F01EA"/>
    <w:rsid w:val="003F2383"/>
    <w:rsid w:val="003F7A2C"/>
    <w:rsid w:val="00402B14"/>
    <w:rsid w:val="00404ACE"/>
    <w:rsid w:val="00404B91"/>
    <w:rsid w:val="00410AFE"/>
    <w:rsid w:val="00416FB3"/>
    <w:rsid w:val="00417650"/>
    <w:rsid w:val="00421AB0"/>
    <w:rsid w:val="004252F7"/>
    <w:rsid w:val="00431543"/>
    <w:rsid w:val="00435FC5"/>
    <w:rsid w:val="00442760"/>
    <w:rsid w:val="00445C40"/>
    <w:rsid w:val="00451268"/>
    <w:rsid w:val="00453759"/>
    <w:rsid w:val="00454F44"/>
    <w:rsid w:val="00457489"/>
    <w:rsid w:val="00460253"/>
    <w:rsid w:val="00463059"/>
    <w:rsid w:val="004661A6"/>
    <w:rsid w:val="00470D26"/>
    <w:rsid w:val="00470EFA"/>
    <w:rsid w:val="00471D3E"/>
    <w:rsid w:val="004728B1"/>
    <w:rsid w:val="00473E9C"/>
    <w:rsid w:val="00476E63"/>
    <w:rsid w:val="00481160"/>
    <w:rsid w:val="00487C43"/>
    <w:rsid w:val="00491180"/>
    <w:rsid w:val="00491479"/>
    <w:rsid w:val="00491F99"/>
    <w:rsid w:val="004A1082"/>
    <w:rsid w:val="004A1EAF"/>
    <w:rsid w:val="004A32BB"/>
    <w:rsid w:val="004A6B33"/>
    <w:rsid w:val="004C0B4E"/>
    <w:rsid w:val="004C3BC9"/>
    <w:rsid w:val="004C4D8D"/>
    <w:rsid w:val="004D3E23"/>
    <w:rsid w:val="004D4B11"/>
    <w:rsid w:val="004D4B78"/>
    <w:rsid w:val="004D51B2"/>
    <w:rsid w:val="004D7E14"/>
    <w:rsid w:val="004E1A78"/>
    <w:rsid w:val="004E1B97"/>
    <w:rsid w:val="004E2066"/>
    <w:rsid w:val="004E44E3"/>
    <w:rsid w:val="0050169B"/>
    <w:rsid w:val="00504DB4"/>
    <w:rsid w:val="005058DB"/>
    <w:rsid w:val="00507B43"/>
    <w:rsid w:val="00512281"/>
    <w:rsid w:val="00513E59"/>
    <w:rsid w:val="005152AA"/>
    <w:rsid w:val="005157F8"/>
    <w:rsid w:val="00523678"/>
    <w:rsid w:val="00525F8C"/>
    <w:rsid w:val="0053087A"/>
    <w:rsid w:val="00541345"/>
    <w:rsid w:val="00542E8D"/>
    <w:rsid w:val="00544E2A"/>
    <w:rsid w:val="005452FF"/>
    <w:rsid w:val="00545743"/>
    <w:rsid w:val="0054768E"/>
    <w:rsid w:val="0055008B"/>
    <w:rsid w:val="00557F6E"/>
    <w:rsid w:val="00572025"/>
    <w:rsid w:val="00575F13"/>
    <w:rsid w:val="00575FF3"/>
    <w:rsid w:val="00582C60"/>
    <w:rsid w:val="0059218B"/>
    <w:rsid w:val="005931D4"/>
    <w:rsid w:val="00596D66"/>
    <w:rsid w:val="005A0CA3"/>
    <w:rsid w:val="005A0E8D"/>
    <w:rsid w:val="005B0A2A"/>
    <w:rsid w:val="005B4257"/>
    <w:rsid w:val="005B43B6"/>
    <w:rsid w:val="005B5A58"/>
    <w:rsid w:val="005C15DD"/>
    <w:rsid w:val="005C18B0"/>
    <w:rsid w:val="005C33F9"/>
    <w:rsid w:val="005C5DFC"/>
    <w:rsid w:val="005D3524"/>
    <w:rsid w:val="005D38A5"/>
    <w:rsid w:val="005F20E3"/>
    <w:rsid w:val="00602A44"/>
    <w:rsid w:val="0060560E"/>
    <w:rsid w:val="00605BB1"/>
    <w:rsid w:val="00605D21"/>
    <w:rsid w:val="00607316"/>
    <w:rsid w:val="006163B0"/>
    <w:rsid w:val="006165BB"/>
    <w:rsid w:val="00620617"/>
    <w:rsid w:val="0062134D"/>
    <w:rsid w:val="00624C90"/>
    <w:rsid w:val="0063103A"/>
    <w:rsid w:val="006321B2"/>
    <w:rsid w:val="0064238B"/>
    <w:rsid w:val="006444E7"/>
    <w:rsid w:val="00646D8D"/>
    <w:rsid w:val="006530E6"/>
    <w:rsid w:val="00653522"/>
    <w:rsid w:val="00653AB6"/>
    <w:rsid w:val="00653DD6"/>
    <w:rsid w:val="0066086E"/>
    <w:rsid w:val="00666D9D"/>
    <w:rsid w:val="00667055"/>
    <w:rsid w:val="00671B44"/>
    <w:rsid w:val="00673F9D"/>
    <w:rsid w:val="0068017D"/>
    <w:rsid w:val="006804A3"/>
    <w:rsid w:val="00683E06"/>
    <w:rsid w:val="0069079E"/>
    <w:rsid w:val="00693796"/>
    <w:rsid w:val="006944D4"/>
    <w:rsid w:val="006A486C"/>
    <w:rsid w:val="006A68A7"/>
    <w:rsid w:val="006B0BD5"/>
    <w:rsid w:val="006B35DF"/>
    <w:rsid w:val="006B4893"/>
    <w:rsid w:val="006B6234"/>
    <w:rsid w:val="006C205B"/>
    <w:rsid w:val="006C708B"/>
    <w:rsid w:val="006D14D4"/>
    <w:rsid w:val="006D1683"/>
    <w:rsid w:val="006D798D"/>
    <w:rsid w:val="006E2E20"/>
    <w:rsid w:val="006E708D"/>
    <w:rsid w:val="006E7A4F"/>
    <w:rsid w:val="006F03F0"/>
    <w:rsid w:val="006F2110"/>
    <w:rsid w:val="006F2D78"/>
    <w:rsid w:val="006F40A5"/>
    <w:rsid w:val="00704EBA"/>
    <w:rsid w:val="00705192"/>
    <w:rsid w:val="00711BB7"/>
    <w:rsid w:val="00714AAD"/>
    <w:rsid w:val="00715396"/>
    <w:rsid w:val="00716F9F"/>
    <w:rsid w:val="00732FF3"/>
    <w:rsid w:val="00740CCA"/>
    <w:rsid w:val="007441B4"/>
    <w:rsid w:val="0074712A"/>
    <w:rsid w:val="00756961"/>
    <w:rsid w:val="0075778B"/>
    <w:rsid w:val="0075793D"/>
    <w:rsid w:val="00763037"/>
    <w:rsid w:val="00776BB1"/>
    <w:rsid w:val="00781157"/>
    <w:rsid w:val="007837B0"/>
    <w:rsid w:val="007844E6"/>
    <w:rsid w:val="00797A9D"/>
    <w:rsid w:val="007A0140"/>
    <w:rsid w:val="007A61DA"/>
    <w:rsid w:val="007B442A"/>
    <w:rsid w:val="007B675F"/>
    <w:rsid w:val="007C4BC0"/>
    <w:rsid w:val="007D4638"/>
    <w:rsid w:val="007D47A6"/>
    <w:rsid w:val="007D7B50"/>
    <w:rsid w:val="007D7D3F"/>
    <w:rsid w:val="007E2099"/>
    <w:rsid w:val="007E4345"/>
    <w:rsid w:val="008021E2"/>
    <w:rsid w:val="0080671E"/>
    <w:rsid w:val="00810206"/>
    <w:rsid w:val="00811D39"/>
    <w:rsid w:val="00812D10"/>
    <w:rsid w:val="00815C75"/>
    <w:rsid w:val="00820F5F"/>
    <w:rsid w:val="0082173C"/>
    <w:rsid w:val="008217B4"/>
    <w:rsid w:val="00822A18"/>
    <w:rsid w:val="00823DAB"/>
    <w:rsid w:val="00831EBC"/>
    <w:rsid w:val="008377AD"/>
    <w:rsid w:val="00845BD1"/>
    <w:rsid w:val="00851456"/>
    <w:rsid w:val="0085156E"/>
    <w:rsid w:val="00851B70"/>
    <w:rsid w:val="00860967"/>
    <w:rsid w:val="00862151"/>
    <w:rsid w:val="00862C03"/>
    <w:rsid w:val="00863A57"/>
    <w:rsid w:val="0086696C"/>
    <w:rsid w:val="00867287"/>
    <w:rsid w:val="00871985"/>
    <w:rsid w:val="00872249"/>
    <w:rsid w:val="008859D9"/>
    <w:rsid w:val="00894913"/>
    <w:rsid w:val="008A1171"/>
    <w:rsid w:val="008A1537"/>
    <w:rsid w:val="008A3009"/>
    <w:rsid w:val="008B48F4"/>
    <w:rsid w:val="008B4F0F"/>
    <w:rsid w:val="008C299D"/>
    <w:rsid w:val="008C5F44"/>
    <w:rsid w:val="008C7222"/>
    <w:rsid w:val="008D07CF"/>
    <w:rsid w:val="008D1C49"/>
    <w:rsid w:val="008D267F"/>
    <w:rsid w:val="008D3EDB"/>
    <w:rsid w:val="008D7758"/>
    <w:rsid w:val="008E4401"/>
    <w:rsid w:val="008E51BC"/>
    <w:rsid w:val="008E7DDD"/>
    <w:rsid w:val="008F3A62"/>
    <w:rsid w:val="00904F84"/>
    <w:rsid w:val="00914618"/>
    <w:rsid w:val="00915075"/>
    <w:rsid w:val="009160C5"/>
    <w:rsid w:val="009174A5"/>
    <w:rsid w:val="0092181A"/>
    <w:rsid w:val="009219A1"/>
    <w:rsid w:val="009332FD"/>
    <w:rsid w:val="009355BF"/>
    <w:rsid w:val="00944320"/>
    <w:rsid w:val="00945C83"/>
    <w:rsid w:val="00945E24"/>
    <w:rsid w:val="00947A59"/>
    <w:rsid w:val="009549BB"/>
    <w:rsid w:val="00956857"/>
    <w:rsid w:val="009638D5"/>
    <w:rsid w:val="00963A69"/>
    <w:rsid w:val="00970680"/>
    <w:rsid w:val="0097257E"/>
    <w:rsid w:val="0098206B"/>
    <w:rsid w:val="009947E0"/>
    <w:rsid w:val="00997406"/>
    <w:rsid w:val="009A2E95"/>
    <w:rsid w:val="009C04BE"/>
    <w:rsid w:val="009C2BB9"/>
    <w:rsid w:val="009C5403"/>
    <w:rsid w:val="009C58EE"/>
    <w:rsid w:val="009C6753"/>
    <w:rsid w:val="009C6FB4"/>
    <w:rsid w:val="009C7723"/>
    <w:rsid w:val="009D1225"/>
    <w:rsid w:val="009E01C5"/>
    <w:rsid w:val="009E6543"/>
    <w:rsid w:val="009F1691"/>
    <w:rsid w:val="009F7755"/>
    <w:rsid w:val="009F7CFF"/>
    <w:rsid w:val="009F7E98"/>
    <w:rsid w:val="00A0750B"/>
    <w:rsid w:val="00A14F57"/>
    <w:rsid w:val="00A15B91"/>
    <w:rsid w:val="00A17249"/>
    <w:rsid w:val="00A178E7"/>
    <w:rsid w:val="00A20B4A"/>
    <w:rsid w:val="00A27C7F"/>
    <w:rsid w:val="00A320F1"/>
    <w:rsid w:val="00A402B4"/>
    <w:rsid w:val="00A44B19"/>
    <w:rsid w:val="00A46F17"/>
    <w:rsid w:val="00A52C47"/>
    <w:rsid w:val="00A612DB"/>
    <w:rsid w:val="00A616D7"/>
    <w:rsid w:val="00A6446E"/>
    <w:rsid w:val="00A676C4"/>
    <w:rsid w:val="00A739CE"/>
    <w:rsid w:val="00A76033"/>
    <w:rsid w:val="00A76462"/>
    <w:rsid w:val="00A8362D"/>
    <w:rsid w:val="00A837EE"/>
    <w:rsid w:val="00A854AD"/>
    <w:rsid w:val="00A87711"/>
    <w:rsid w:val="00A90278"/>
    <w:rsid w:val="00A90CEB"/>
    <w:rsid w:val="00A930A6"/>
    <w:rsid w:val="00A930BA"/>
    <w:rsid w:val="00AA3D33"/>
    <w:rsid w:val="00AA57D8"/>
    <w:rsid w:val="00AA6EA8"/>
    <w:rsid w:val="00AB3F68"/>
    <w:rsid w:val="00AB5F96"/>
    <w:rsid w:val="00AB641C"/>
    <w:rsid w:val="00AB79BC"/>
    <w:rsid w:val="00AC20CF"/>
    <w:rsid w:val="00AC5998"/>
    <w:rsid w:val="00AC65F7"/>
    <w:rsid w:val="00AD0E5B"/>
    <w:rsid w:val="00AD2A59"/>
    <w:rsid w:val="00AD6AF5"/>
    <w:rsid w:val="00AD717B"/>
    <w:rsid w:val="00AD7E1E"/>
    <w:rsid w:val="00AE1750"/>
    <w:rsid w:val="00AF1B4C"/>
    <w:rsid w:val="00B0588B"/>
    <w:rsid w:val="00B069EC"/>
    <w:rsid w:val="00B110ED"/>
    <w:rsid w:val="00B1234A"/>
    <w:rsid w:val="00B13E23"/>
    <w:rsid w:val="00B20CD5"/>
    <w:rsid w:val="00B22B76"/>
    <w:rsid w:val="00B32EA4"/>
    <w:rsid w:val="00B40D23"/>
    <w:rsid w:val="00B4499F"/>
    <w:rsid w:val="00B61FCE"/>
    <w:rsid w:val="00B672BC"/>
    <w:rsid w:val="00B8257A"/>
    <w:rsid w:val="00B93180"/>
    <w:rsid w:val="00B97522"/>
    <w:rsid w:val="00BA0758"/>
    <w:rsid w:val="00BB500E"/>
    <w:rsid w:val="00BD2DFD"/>
    <w:rsid w:val="00BE0C98"/>
    <w:rsid w:val="00BE1743"/>
    <w:rsid w:val="00BE4297"/>
    <w:rsid w:val="00BF5051"/>
    <w:rsid w:val="00BF544F"/>
    <w:rsid w:val="00C01841"/>
    <w:rsid w:val="00C01AA4"/>
    <w:rsid w:val="00C02DC0"/>
    <w:rsid w:val="00C03A53"/>
    <w:rsid w:val="00C143BB"/>
    <w:rsid w:val="00C17B3F"/>
    <w:rsid w:val="00C24F07"/>
    <w:rsid w:val="00C27C46"/>
    <w:rsid w:val="00C27FAB"/>
    <w:rsid w:val="00C30A72"/>
    <w:rsid w:val="00C3167B"/>
    <w:rsid w:val="00C36C74"/>
    <w:rsid w:val="00C37406"/>
    <w:rsid w:val="00C40DCB"/>
    <w:rsid w:val="00C43421"/>
    <w:rsid w:val="00C43507"/>
    <w:rsid w:val="00C43935"/>
    <w:rsid w:val="00C4561B"/>
    <w:rsid w:val="00C53530"/>
    <w:rsid w:val="00C53CD0"/>
    <w:rsid w:val="00C557A5"/>
    <w:rsid w:val="00C57D2F"/>
    <w:rsid w:val="00C627B6"/>
    <w:rsid w:val="00C63EC4"/>
    <w:rsid w:val="00C67FAE"/>
    <w:rsid w:val="00C70319"/>
    <w:rsid w:val="00C74944"/>
    <w:rsid w:val="00C77163"/>
    <w:rsid w:val="00C8003D"/>
    <w:rsid w:val="00C80DAC"/>
    <w:rsid w:val="00C83119"/>
    <w:rsid w:val="00C83DF4"/>
    <w:rsid w:val="00C8489C"/>
    <w:rsid w:val="00C872B9"/>
    <w:rsid w:val="00C94B5A"/>
    <w:rsid w:val="00CA389C"/>
    <w:rsid w:val="00CA4E46"/>
    <w:rsid w:val="00CA5526"/>
    <w:rsid w:val="00CA6085"/>
    <w:rsid w:val="00CB0C98"/>
    <w:rsid w:val="00CB238F"/>
    <w:rsid w:val="00CB2779"/>
    <w:rsid w:val="00CB49D0"/>
    <w:rsid w:val="00CD2F94"/>
    <w:rsid w:val="00CD311B"/>
    <w:rsid w:val="00CD3142"/>
    <w:rsid w:val="00CE6AA0"/>
    <w:rsid w:val="00CF3897"/>
    <w:rsid w:val="00CF3D5A"/>
    <w:rsid w:val="00CF44AF"/>
    <w:rsid w:val="00CF5FF9"/>
    <w:rsid w:val="00CF7386"/>
    <w:rsid w:val="00D014E6"/>
    <w:rsid w:val="00D0558E"/>
    <w:rsid w:val="00D07263"/>
    <w:rsid w:val="00D20477"/>
    <w:rsid w:val="00D217F1"/>
    <w:rsid w:val="00D27398"/>
    <w:rsid w:val="00D27F59"/>
    <w:rsid w:val="00D303F8"/>
    <w:rsid w:val="00D3070E"/>
    <w:rsid w:val="00D31F4F"/>
    <w:rsid w:val="00D35E0C"/>
    <w:rsid w:val="00D372D7"/>
    <w:rsid w:val="00D37407"/>
    <w:rsid w:val="00D403F6"/>
    <w:rsid w:val="00D44F9E"/>
    <w:rsid w:val="00D46D73"/>
    <w:rsid w:val="00D5233C"/>
    <w:rsid w:val="00D5376D"/>
    <w:rsid w:val="00D5636E"/>
    <w:rsid w:val="00D57360"/>
    <w:rsid w:val="00D6443F"/>
    <w:rsid w:val="00D64584"/>
    <w:rsid w:val="00D80ED6"/>
    <w:rsid w:val="00D81A24"/>
    <w:rsid w:val="00D85A59"/>
    <w:rsid w:val="00D92F21"/>
    <w:rsid w:val="00D93285"/>
    <w:rsid w:val="00DA1E70"/>
    <w:rsid w:val="00DA25C4"/>
    <w:rsid w:val="00DA4351"/>
    <w:rsid w:val="00DA6EA0"/>
    <w:rsid w:val="00DB1B45"/>
    <w:rsid w:val="00DB28A6"/>
    <w:rsid w:val="00DB4C28"/>
    <w:rsid w:val="00DB6F14"/>
    <w:rsid w:val="00DC4614"/>
    <w:rsid w:val="00DC51AB"/>
    <w:rsid w:val="00DD38F7"/>
    <w:rsid w:val="00DF2A0E"/>
    <w:rsid w:val="00DF4C98"/>
    <w:rsid w:val="00DF51AB"/>
    <w:rsid w:val="00E01E13"/>
    <w:rsid w:val="00E100AA"/>
    <w:rsid w:val="00E1364D"/>
    <w:rsid w:val="00E21425"/>
    <w:rsid w:val="00E24D17"/>
    <w:rsid w:val="00E2509C"/>
    <w:rsid w:val="00E26DEF"/>
    <w:rsid w:val="00E27348"/>
    <w:rsid w:val="00E30119"/>
    <w:rsid w:val="00E34ECB"/>
    <w:rsid w:val="00E36DD1"/>
    <w:rsid w:val="00E51E1A"/>
    <w:rsid w:val="00E55139"/>
    <w:rsid w:val="00E622A4"/>
    <w:rsid w:val="00E63D7E"/>
    <w:rsid w:val="00E63F19"/>
    <w:rsid w:val="00E656FA"/>
    <w:rsid w:val="00E6728E"/>
    <w:rsid w:val="00E702C0"/>
    <w:rsid w:val="00E7381F"/>
    <w:rsid w:val="00E74509"/>
    <w:rsid w:val="00E8131A"/>
    <w:rsid w:val="00E86E9C"/>
    <w:rsid w:val="00E9020F"/>
    <w:rsid w:val="00E914AF"/>
    <w:rsid w:val="00E938E2"/>
    <w:rsid w:val="00EA10F1"/>
    <w:rsid w:val="00EA1DE7"/>
    <w:rsid w:val="00EA580A"/>
    <w:rsid w:val="00EB4E49"/>
    <w:rsid w:val="00EB73B0"/>
    <w:rsid w:val="00ED584B"/>
    <w:rsid w:val="00EE0A7B"/>
    <w:rsid w:val="00EE17DF"/>
    <w:rsid w:val="00EF04E0"/>
    <w:rsid w:val="00EF2714"/>
    <w:rsid w:val="00EF3E01"/>
    <w:rsid w:val="00EF459E"/>
    <w:rsid w:val="00EF7C14"/>
    <w:rsid w:val="00F007E3"/>
    <w:rsid w:val="00F13385"/>
    <w:rsid w:val="00F200F5"/>
    <w:rsid w:val="00F2411C"/>
    <w:rsid w:val="00F34B51"/>
    <w:rsid w:val="00F402F4"/>
    <w:rsid w:val="00F40E0B"/>
    <w:rsid w:val="00F417E9"/>
    <w:rsid w:val="00F45251"/>
    <w:rsid w:val="00F46BD8"/>
    <w:rsid w:val="00F56779"/>
    <w:rsid w:val="00F615DC"/>
    <w:rsid w:val="00F61D1A"/>
    <w:rsid w:val="00F62156"/>
    <w:rsid w:val="00F65C5F"/>
    <w:rsid w:val="00F763E9"/>
    <w:rsid w:val="00F8014F"/>
    <w:rsid w:val="00F805D4"/>
    <w:rsid w:val="00F8500B"/>
    <w:rsid w:val="00F87159"/>
    <w:rsid w:val="00F90F58"/>
    <w:rsid w:val="00F92D59"/>
    <w:rsid w:val="00F97FB2"/>
    <w:rsid w:val="00FA175C"/>
    <w:rsid w:val="00FA4118"/>
    <w:rsid w:val="00FA5C1F"/>
    <w:rsid w:val="00FA6273"/>
    <w:rsid w:val="00FA7ED1"/>
    <w:rsid w:val="00FB05A5"/>
    <w:rsid w:val="00FB3E7C"/>
    <w:rsid w:val="00FB45F3"/>
    <w:rsid w:val="00FB5B42"/>
    <w:rsid w:val="00FC0495"/>
    <w:rsid w:val="00FC0571"/>
    <w:rsid w:val="00FC7263"/>
    <w:rsid w:val="00FC750E"/>
    <w:rsid w:val="00FD0E81"/>
    <w:rsid w:val="00FD2920"/>
    <w:rsid w:val="00FD3DCA"/>
    <w:rsid w:val="00FD4727"/>
    <w:rsid w:val="00FE2580"/>
    <w:rsid w:val="00FE7E7D"/>
    <w:rsid w:val="00FF26EA"/>
    <w:rsid w:val="00FF41B3"/>
    <w:rsid w:val="00FF7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8432"/>
  <w15:chartTrackingRefBased/>
  <w15:docId w15:val="{8C896AEB-E0F5-42C8-9B6B-33D654FC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2D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B91"/>
    <w:pPr>
      <w:tabs>
        <w:tab w:val="center" w:pos="4153"/>
        <w:tab w:val="right" w:pos="8306"/>
      </w:tabs>
    </w:pPr>
    <w:rPr>
      <w:rFonts w:asciiTheme="minorHAnsi" w:hAnsiTheme="minorHAnsi" w:cstheme="minorBidi"/>
    </w:rPr>
  </w:style>
  <w:style w:type="character" w:customStyle="1" w:styleId="HeaderChar">
    <w:name w:val="Header Char"/>
    <w:basedOn w:val="DefaultParagraphFont"/>
    <w:link w:val="Header"/>
    <w:uiPriority w:val="99"/>
    <w:rsid w:val="00A15B91"/>
  </w:style>
  <w:style w:type="paragraph" w:styleId="Footer">
    <w:name w:val="footer"/>
    <w:basedOn w:val="Normal"/>
    <w:link w:val="FooterChar"/>
    <w:uiPriority w:val="99"/>
    <w:unhideWhenUsed/>
    <w:rsid w:val="00A15B91"/>
    <w:pPr>
      <w:tabs>
        <w:tab w:val="center" w:pos="4153"/>
        <w:tab w:val="right" w:pos="8306"/>
      </w:tabs>
    </w:pPr>
    <w:rPr>
      <w:rFonts w:asciiTheme="minorHAnsi" w:hAnsiTheme="minorHAnsi" w:cstheme="minorBidi"/>
    </w:rPr>
  </w:style>
  <w:style w:type="character" w:customStyle="1" w:styleId="FooterChar">
    <w:name w:val="Footer Char"/>
    <w:basedOn w:val="DefaultParagraphFont"/>
    <w:link w:val="Footer"/>
    <w:uiPriority w:val="99"/>
    <w:rsid w:val="00A15B91"/>
  </w:style>
  <w:style w:type="character" w:styleId="Hyperlink">
    <w:name w:val="Hyperlink"/>
    <w:basedOn w:val="DefaultParagraphFont"/>
    <w:uiPriority w:val="99"/>
    <w:semiHidden/>
    <w:unhideWhenUsed/>
    <w:rsid w:val="00A15B91"/>
    <w:rPr>
      <w:color w:val="0563C1"/>
      <w:u w:val="single"/>
    </w:rPr>
  </w:style>
  <w:style w:type="paragraph" w:styleId="NormalWeb">
    <w:name w:val="Normal (Web)"/>
    <w:basedOn w:val="Normal"/>
    <w:uiPriority w:val="99"/>
    <w:semiHidden/>
    <w:unhideWhenUsed/>
    <w:rsid w:val="00CF3D5A"/>
    <w:pPr>
      <w:spacing w:before="100" w:beforeAutospacing="1" w:after="100" w:afterAutospacing="1"/>
    </w:pPr>
    <w:rPr>
      <w:lang w:eastAsia="lv-LV"/>
    </w:rPr>
  </w:style>
  <w:style w:type="character" w:customStyle="1" w:styleId="normaltextrun">
    <w:name w:val="normaltextrun"/>
    <w:basedOn w:val="DefaultParagraphFont"/>
    <w:rsid w:val="00CF3D5A"/>
  </w:style>
  <w:style w:type="paragraph" w:styleId="ListParagraph">
    <w:name w:val="List Paragraph"/>
    <w:basedOn w:val="Normal"/>
    <w:uiPriority w:val="34"/>
    <w:qFormat/>
    <w:rsid w:val="003C6430"/>
    <w:pPr>
      <w:ind w:left="720"/>
    </w:pPr>
  </w:style>
  <w:style w:type="paragraph" w:customStyle="1" w:styleId="xxmsonormal">
    <w:name w:val="x_x_msonormal"/>
    <w:basedOn w:val="Normal"/>
    <w:rsid w:val="00295366"/>
    <w:rPr>
      <w:lang w:eastAsia="lv-LV"/>
    </w:rPr>
  </w:style>
  <w:style w:type="paragraph" w:customStyle="1" w:styleId="xxmsoplaintext">
    <w:name w:val="x_xmsoplaintext"/>
    <w:basedOn w:val="Normal"/>
    <w:uiPriority w:val="99"/>
    <w:semiHidden/>
    <w:rsid w:val="006F2110"/>
    <w:rPr>
      <w:lang w:eastAsia="lv-LV"/>
    </w:rPr>
  </w:style>
  <w:style w:type="paragraph" w:customStyle="1" w:styleId="xxxmsoplaintext">
    <w:name w:val="x_x_xmsoplaintext"/>
    <w:basedOn w:val="Normal"/>
    <w:uiPriority w:val="99"/>
    <w:semiHidden/>
    <w:rsid w:val="00823DAB"/>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6185">
      <w:bodyDiv w:val="1"/>
      <w:marLeft w:val="0"/>
      <w:marRight w:val="0"/>
      <w:marTop w:val="0"/>
      <w:marBottom w:val="0"/>
      <w:divBdr>
        <w:top w:val="none" w:sz="0" w:space="0" w:color="auto"/>
        <w:left w:val="none" w:sz="0" w:space="0" w:color="auto"/>
        <w:bottom w:val="none" w:sz="0" w:space="0" w:color="auto"/>
        <w:right w:val="none" w:sz="0" w:space="0" w:color="auto"/>
      </w:divBdr>
    </w:div>
    <w:div w:id="227543767">
      <w:bodyDiv w:val="1"/>
      <w:marLeft w:val="0"/>
      <w:marRight w:val="0"/>
      <w:marTop w:val="0"/>
      <w:marBottom w:val="0"/>
      <w:divBdr>
        <w:top w:val="none" w:sz="0" w:space="0" w:color="auto"/>
        <w:left w:val="none" w:sz="0" w:space="0" w:color="auto"/>
        <w:bottom w:val="none" w:sz="0" w:space="0" w:color="auto"/>
        <w:right w:val="none" w:sz="0" w:space="0" w:color="auto"/>
      </w:divBdr>
    </w:div>
    <w:div w:id="255871385">
      <w:bodyDiv w:val="1"/>
      <w:marLeft w:val="0"/>
      <w:marRight w:val="0"/>
      <w:marTop w:val="0"/>
      <w:marBottom w:val="0"/>
      <w:divBdr>
        <w:top w:val="none" w:sz="0" w:space="0" w:color="auto"/>
        <w:left w:val="none" w:sz="0" w:space="0" w:color="auto"/>
        <w:bottom w:val="none" w:sz="0" w:space="0" w:color="auto"/>
        <w:right w:val="none" w:sz="0" w:space="0" w:color="auto"/>
      </w:divBdr>
    </w:div>
    <w:div w:id="413479352">
      <w:bodyDiv w:val="1"/>
      <w:marLeft w:val="0"/>
      <w:marRight w:val="0"/>
      <w:marTop w:val="0"/>
      <w:marBottom w:val="0"/>
      <w:divBdr>
        <w:top w:val="none" w:sz="0" w:space="0" w:color="auto"/>
        <w:left w:val="none" w:sz="0" w:space="0" w:color="auto"/>
        <w:bottom w:val="none" w:sz="0" w:space="0" w:color="auto"/>
        <w:right w:val="none" w:sz="0" w:space="0" w:color="auto"/>
      </w:divBdr>
    </w:div>
    <w:div w:id="474881524">
      <w:bodyDiv w:val="1"/>
      <w:marLeft w:val="0"/>
      <w:marRight w:val="0"/>
      <w:marTop w:val="0"/>
      <w:marBottom w:val="0"/>
      <w:divBdr>
        <w:top w:val="none" w:sz="0" w:space="0" w:color="auto"/>
        <w:left w:val="none" w:sz="0" w:space="0" w:color="auto"/>
        <w:bottom w:val="none" w:sz="0" w:space="0" w:color="auto"/>
        <w:right w:val="none" w:sz="0" w:space="0" w:color="auto"/>
      </w:divBdr>
    </w:div>
    <w:div w:id="581791937">
      <w:bodyDiv w:val="1"/>
      <w:marLeft w:val="0"/>
      <w:marRight w:val="0"/>
      <w:marTop w:val="0"/>
      <w:marBottom w:val="0"/>
      <w:divBdr>
        <w:top w:val="none" w:sz="0" w:space="0" w:color="auto"/>
        <w:left w:val="none" w:sz="0" w:space="0" w:color="auto"/>
        <w:bottom w:val="none" w:sz="0" w:space="0" w:color="auto"/>
        <w:right w:val="none" w:sz="0" w:space="0" w:color="auto"/>
      </w:divBdr>
    </w:div>
    <w:div w:id="642076120">
      <w:bodyDiv w:val="1"/>
      <w:marLeft w:val="0"/>
      <w:marRight w:val="0"/>
      <w:marTop w:val="0"/>
      <w:marBottom w:val="0"/>
      <w:divBdr>
        <w:top w:val="none" w:sz="0" w:space="0" w:color="auto"/>
        <w:left w:val="none" w:sz="0" w:space="0" w:color="auto"/>
        <w:bottom w:val="none" w:sz="0" w:space="0" w:color="auto"/>
        <w:right w:val="none" w:sz="0" w:space="0" w:color="auto"/>
      </w:divBdr>
    </w:div>
    <w:div w:id="836849010">
      <w:bodyDiv w:val="1"/>
      <w:marLeft w:val="0"/>
      <w:marRight w:val="0"/>
      <w:marTop w:val="0"/>
      <w:marBottom w:val="0"/>
      <w:divBdr>
        <w:top w:val="none" w:sz="0" w:space="0" w:color="auto"/>
        <w:left w:val="none" w:sz="0" w:space="0" w:color="auto"/>
        <w:bottom w:val="none" w:sz="0" w:space="0" w:color="auto"/>
        <w:right w:val="none" w:sz="0" w:space="0" w:color="auto"/>
      </w:divBdr>
    </w:div>
    <w:div w:id="854459009">
      <w:bodyDiv w:val="1"/>
      <w:marLeft w:val="0"/>
      <w:marRight w:val="0"/>
      <w:marTop w:val="0"/>
      <w:marBottom w:val="0"/>
      <w:divBdr>
        <w:top w:val="none" w:sz="0" w:space="0" w:color="auto"/>
        <w:left w:val="none" w:sz="0" w:space="0" w:color="auto"/>
        <w:bottom w:val="none" w:sz="0" w:space="0" w:color="auto"/>
        <w:right w:val="none" w:sz="0" w:space="0" w:color="auto"/>
      </w:divBdr>
    </w:div>
    <w:div w:id="855651524">
      <w:bodyDiv w:val="1"/>
      <w:marLeft w:val="0"/>
      <w:marRight w:val="0"/>
      <w:marTop w:val="0"/>
      <w:marBottom w:val="0"/>
      <w:divBdr>
        <w:top w:val="none" w:sz="0" w:space="0" w:color="auto"/>
        <w:left w:val="none" w:sz="0" w:space="0" w:color="auto"/>
        <w:bottom w:val="none" w:sz="0" w:space="0" w:color="auto"/>
        <w:right w:val="none" w:sz="0" w:space="0" w:color="auto"/>
      </w:divBdr>
    </w:div>
    <w:div w:id="961427435">
      <w:bodyDiv w:val="1"/>
      <w:marLeft w:val="0"/>
      <w:marRight w:val="0"/>
      <w:marTop w:val="0"/>
      <w:marBottom w:val="0"/>
      <w:divBdr>
        <w:top w:val="none" w:sz="0" w:space="0" w:color="auto"/>
        <w:left w:val="none" w:sz="0" w:space="0" w:color="auto"/>
        <w:bottom w:val="none" w:sz="0" w:space="0" w:color="auto"/>
        <w:right w:val="none" w:sz="0" w:space="0" w:color="auto"/>
      </w:divBdr>
    </w:div>
    <w:div w:id="1051153517">
      <w:bodyDiv w:val="1"/>
      <w:marLeft w:val="0"/>
      <w:marRight w:val="0"/>
      <w:marTop w:val="0"/>
      <w:marBottom w:val="0"/>
      <w:divBdr>
        <w:top w:val="none" w:sz="0" w:space="0" w:color="auto"/>
        <w:left w:val="none" w:sz="0" w:space="0" w:color="auto"/>
        <w:bottom w:val="none" w:sz="0" w:space="0" w:color="auto"/>
        <w:right w:val="none" w:sz="0" w:space="0" w:color="auto"/>
      </w:divBdr>
    </w:div>
    <w:div w:id="1071342772">
      <w:bodyDiv w:val="1"/>
      <w:marLeft w:val="0"/>
      <w:marRight w:val="0"/>
      <w:marTop w:val="0"/>
      <w:marBottom w:val="0"/>
      <w:divBdr>
        <w:top w:val="none" w:sz="0" w:space="0" w:color="auto"/>
        <w:left w:val="none" w:sz="0" w:space="0" w:color="auto"/>
        <w:bottom w:val="none" w:sz="0" w:space="0" w:color="auto"/>
        <w:right w:val="none" w:sz="0" w:space="0" w:color="auto"/>
      </w:divBdr>
    </w:div>
    <w:div w:id="1119641080">
      <w:bodyDiv w:val="1"/>
      <w:marLeft w:val="0"/>
      <w:marRight w:val="0"/>
      <w:marTop w:val="0"/>
      <w:marBottom w:val="0"/>
      <w:divBdr>
        <w:top w:val="none" w:sz="0" w:space="0" w:color="auto"/>
        <w:left w:val="none" w:sz="0" w:space="0" w:color="auto"/>
        <w:bottom w:val="none" w:sz="0" w:space="0" w:color="auto"/>
        <w:right w:val="none" w:sz="0" w:space="0" w:color="auto"/>
      </w:divBdr>
    </w:div>
    <w:div w:id="1232741337">
      <w:bodyDiv w:val="1"/>
      <w:marLeft w:val="0"/>
      <w:marRight w:val="0"/>
      <w:marTop w:val="0"/>
      <w:marBottom w:val="0"/>
      <w:divBdr>
        <w:top w:val="none" w:sz="0" w:space="0" w:color="auto"/>
        <w:left w:val="none" w:sz="0" w:space="0" w:color="auto"/>
        <w:bottom w:val="none" w:sz="0" w:space="0" w:color="auto"/>
        <w:right w:val="none" w:sz="0" w:space="0" w:color="auto"/>
      </w:divBdr>
    </w:div>
    <w:div w:id="1393234287">
      <w:bodyDiv w:val="1"/>
      <w:marLeft w:val="0"/>
      <w:marRight w:val="0"/>
      <w:marTop w:val="0"/>
      <w:marBottom w:val="0"/>
      <w:divBdr>
        <w:top w:val="none" w:sz="0" w:space="0" w:color="auto"/>
        <w:left w:val="none" w:sz="0" w:space="0" w:color="auto"/>
        <w:bottom w:val="none" w:sz="0" w:space="0" w:color="auto"/>
        <w:right w:val="none" w:sz="0" w:space="0" w:color="auto"/>
      </w:divBdr>
    </w:div>
    <w:div w:id="1459028228">
      <w:bodyDiv w:val="1"/>
      <w:marLeft w:val="0"/>
      <w:marRight w:val="0"/>
      <w:marTop w:val="0"/>
      <w:marBottom w:val="0"/>
      <w:divBdr>
        <w:top w:val="none" w:sz="0" w:space="0" w:color="auto"/>
        <w:left w:val="none" w:sz="0" w:space="0" w:color="auto"/>
        <w:bottom w:val="none" w:sz="0" w:space="0" w:color="auto"/>
        <w:right w:val="none" w:sz="0" w:space="0" w:color="auto"/>
      </w:divBdr>
    </w:div>
    <w:div w:id="1642885792">
      <w:bodyDiv w:val="1"/>
      <w:marLeft w:val="0"/>
      <w:marRight w:val="0"/>
      <w:marTop w:val="0"/>
      <w:marBottom w:val="0"/>
      <w:divBdr>
        <w:top w:val="none" w:sz="0" w:space="0" w:color="auto"/>
        <w:left w:val="none" w:sz="0" w:space="0" w:color="auto"/>
        <w:bottom w:val="none" w:sz="0" w:space="0" w:color="auto"/>
        <w:right w:val="none" w:sz="0" w:space="0" w:color="auto"/>
      </w:divBdr>
    </w:div>
    <w:div w:id="1692998336">
      <w:bodyDiv w:val="1"/>
      <w:marLeft w:val="0"/>
      <w:marRight w:val="0"/>
      <w:marTop w:val="0"/>
      <w:marBottom w:val="0"/>
      <w:divBdr>
        <w:top w:val="none" w:sz="0" w:space="0" w:color="auto"/>
        <w:left w:val="none" w:sz="0" w:space="0" w:color="auto"/>
        <w:bottom w:val="none" w:sz="0" w:space="0" w:color="auto"/>
        <w:right w:val="none" w:sz="0" w:space="0" w:color="auto"/>
      </w:divBdr>
    </w:div>
    <w:div w:id="1701854336">
      <w:bodyDiv w:val="1"/>
      <w:marLeft w:val="0"/>
      <w:marRight w:val="0"/>
      <w:marTop w:val="0"/>
      <w:marBottom w:val="0"/>
      <w:divBdr>
        <w:top w:val="none" w:sz="0" w:space="0" w:color="auto"/>
        <w:left w:val="none" w:sz="0" w:space="0" w:color="auto"/>
        <w:bottom w:val="none" w:sz="0" w:space="0" w:color="auto"/>
        <w:right w:val="none" w:sz="0" w:space="0" w:color="auto"/>
      </w:divBdr>
    </w:div>
    <w:div w:id="1777599242">
      <w:bodyDiv w:val="1"/>
      <w:marLeft w:val="0"/>
      <w:marRight w:val="0"/>
      <w:marTop w:val="0"/>
      <w:marBottom w:val="0"/>
      <w:divBdr>
        <w:top w:val="none" w:sz="0" w:space="0" w:color="auto"/>
        <w:left w:val="none" w:sz="0" w:space="0" w:color="auto"/>
        <w:bottom w:val="none" w:sz="0" w:space="0" w:color="auto"/>
        <w:right w:val="none" w:sz="0" w:space="0" w:color="auto"/>
      </w:divBdr>
    </w:div>
    <w:div w:id="1937982758">
      <w:bodyDiv w:val="1"/>
      <w:marLeft w:val="0"/>
      <w:marRight w:val="0"/>
      <w:marTop w:val="0"/>
      <w:marBottom w:val="0"/>
      <w:divBdr>
        <w:top w:val="none" w:sz="0" w:space="0" w:color="auto"/>
        <w:left w:val="none" w:sz="0" w:space="0" w:color="auto"/>
        <w:bottom w:val="none" w:sz="0" w:space="0" w:color="auto"/>
        <w:right w:val="none" w:sz="0" w:space="0" w:color="auto"/>
      </w:divBdr>
    </w:div>
    <w:div w:id="1938248924">
      <w:bodyDiv w:val="1"/>
      <w:marLeft w:val="0"/>
      <w:marRight w:val="0"/>
      <w:marTop w:val="0"/>
      <w:marBottom w:val="0"/>
      <w:divBdr>
        <w:top w:val="none" w:sz="0" w:space="0" w:color="auto"/>
        <w:left w:val="none" w:sz="0" w:space="0" w:color="auto"/>
        <w:bottom w:val="none" w:sz="0" w:space="0" w:color="auto"/>
        <w:right w:val="none" w:sz="0" w:space="0" w:color="auto"/>
      </w:divBdr>
    </w:div>
    <w:div w:id="1975988768">
      <w:bodyDiv w:val="1"/>
      <w:marLeft w:val="0"/>
      <w:marRight w:val="0"/>
      <w:marTop w:val="0"/>
      <w:marBottom w:val="0"/>
      <w:divBdr>
        <w:top w:val="none" w:sz="0" w:space="0" w:color="auto"/>
        <w:left w:val="none" w:sz="0" w:space="0" w:color="auto"/>
        <w:bottom w:val="none" w:sz="0" w:space="0" w:color="auto"/>
        <w:right w:val="none" w:sz="0" w:space="0" w:color="auto"/>
      </w:divBdr>
    </w:div>
    <w:div w:id="2040935287">
      <w:bodyDiv w:val="1"/>
      <w:marLeft w:val="0"/>
      <w:marRight w:val="0"/>
      <w:marTop w:val="0"/>
      <w:marBottom w:val="0"/>
      <w:divBdr>
        <w:top w:val="none" w:sz="0" w:space="0" w:color="auto"/>
        <w:left w:val="none" w:sz="0" w:space="0" w:color="auto"/>
        <w:bottom w:val="none" w:sz="0" w:space="0" w:color="auto"/>
        <w:right w:val="none" w:sz="0" w:space="0" w:color="auto"/>
      </w:divBdr>
    </w:div>
    <w:div w:id="2067290288">
      <w:bodyDiv w:val="1"/>
      <w:marLeft w:val="0"/>
      <w:marRight w:val="0"/>
      <w:marTop w:val="0"/>
      <w:marBottom w:val="0"/>
      <w:divBdr>
        <w:top w:val="none" w:sz="0" w:space="0" w:color="auto"/>
        <w:left w:val="none" w:sz="0" w:space="0" w:color="auto"/>
        <w:bottom w:val="none" w:sz="0" w:space="0" w:color="auto"/>
        <w:right w:val="none" w:sz="0" w:space="0" w:color="auto"/>
      </w:divBdr>
    </w:div>
    <w:div w:id="212646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is.Vilcans@tm.gov.lv"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8931</Words>
  <Characters>5092</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Ziemele Adricka</dc:creator>
  <cp:keywords/>
  <dc:description/>
  <cp:lastModifiedBy>Jānis Kalniņš</cp:lastModifiedBy>
  <cp:revision>31</cp:revision>
  <dcterms:created xsi:type="dcterms:W3CDTF">2018-06-25T05:20:00Z</dcterms:created>
  <dcterms:modified xsi:type="dcterms:W3CDTF">2021-09-21T08:11:00Z</dcterms:modified>
</cp:coreProperties>
</file>