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apakšsadaļā norādīts, ka projekts stāsies spēkā 2024. gada 2. septembrī. Vēršam uzmanību uz to, ka projekts neparedz, ka tas stāsies spēkā 2024. gada 2. septembrī. Ievērojot minēto, aicinām precizēt projektu, ja ir plānots, ka tas stāsies spēkā 2024. gada 2. septembrī, vai precizēt anotācijas 1.2. apakšsadaļā ietverto informāciju, ja ir plānots, ka projekts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09.07.2024.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09.07.2024.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