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mērķis ir nodrošināt nacionālo interešu objekta — elektrificētas Eiropas standarta platuma (1435 mm) publiskās lietošanas dzelzceļa infrastruktūras Rail Baltica un ar to saistīto būvju būvniecības Latvijas Republikas teritorijas ietvaros (turpmāk — Rail Baltica projekts) sekmīgu un savlaicīgu īstenošanu atbilstoši Rail Baltica projekta īstenošanas tvērumam un ieviešanas struktūrai, pirmajā posmā līdz 2030. gada 31. decembrim nodrošinot funkcionālu Eiropas sliežu platuma pārrobežu dzelzceļa infrastruktūras Latvijas posma savienojumu ar Igaunijas Republiku un Lietuvas Republiku, bet otrajā posmā pēc 2031. gada 1. janvāra nodrošinot atlikušā Rail Baltica projekta tvēruma Latvijas teritorijā īstenošanu atbilstoši pieejamam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Rail Baltica projekta integrāciju esošajā satiksmes infrastruktūrā, neatkarīgi no īstenotāja vai finansējuma avota, lūdzam saglabāt iepriekšējo Likumprojekta (1) punkta redakciju, papildinot to ar piezīmi, ka darbība ir veicama ar nosacījumu, ja ir pozitīva tehniski ekonomiskā analīze un rasts privāto investīciju piesaistes risinājums un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 likuma mērķis ir nodrošināt nacionālo interešu objekta — elektrificētas Eiropas standarta platuma (1435 mm) publiskās lietošanas dzelzceļa infrastruktūras Rail Baltica un ar to saistīto būvju būvniecības Latvijas Republikas teritorijas ietvaros (turpmāk — Rail Baltica projekts) sekmīgu un savlaicīgu īstenošanu atbilstoši Rail Baltica projekta īstenošanas tvērumam un ieviešanas struktūrai, pirmajā posmā līdz 2030. gada 31. decembrim nodrošinot funkcionālu Eiropas sliežu platuma pārrobežu dzelzceļa infrastruktūras Latvijas posma savienojumu ar Igaunijas Republiku un Lietuvas Republiku, kā arī, pozitīvas tehniski ekonomiskās analīzes un investīciju piesaistes gadījumā nodrošinot savienojumu ar Rīgu, bet otrajā posmā pēc 2031. gada 1. janvāra nodrošinot atlikušā Rail Baltica projekta tvēruma Latvijas teritorijā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28.05.2025.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