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891 "Noteikumi par saimnieciskās darbības ierobežojumiem, par kuriem pienākas kompensācija, tās izmaksas nosacījumiem,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noteikumu projekts paredz publisko līdzekļu piešķiršanu, lūdzam papildināt anotāciju ar izvērtējumu par to, vai publisko līdzekļu piešķīrums kvalificējas vai nekvalificējas kā komercdarbības atbalsts Komercdarbības atbalsta kontroles likuma 5.panta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pirmajā rindkopā vārdu “nerada ietekmi uz valsts un pašvaldību budžetiem” vietā norādīt vārdus “nerada ietekmi uz valsts budžetu”, ņemot vērā, ka šī punktā otrajā rindkopā ir norādīta informācija par ietekmi uz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norādīt saskaņā ar likumu “Par valsts budžetu 2023. gadam un budžeta ietvaru 2023., 2024. un 2025. gadam” Vides aizsardzības un reģionālās attīstības ministrijas budžeta apakšprogrammā 24.08.00 “Nacionālo parku darbības nodrošināšana” paredzētā finansējuma apmēru 2023., 2024. un 2025.gadam, kas tiks izmantots noteikumu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21.09.2023.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21.09.2023.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Atzinumi_23-TA-1300.docx</dc:title>
</cp:coreProperties>
</file>

<file path=docProps/custom.xml><?xml version="1.0" encoding="utf-8"?>
<Properties xmlns="http://schemas.openxmlformats.org/officeDocument/2006/custom-properties" xmlns:vt="http://schemas.openxmlformats.org/officeDocument/2006/docPropsVTypes"/>
</file>