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sadaļas "III PLĀNOTIE PASĀKUMI" 2.2.1. pasākuma "Īres mājokļu attīstība" 3.punkta atbildīgo institūciju, norādot to kā FM (VNĪ).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svītrojami pasākumi, kuru īstenošanai finansējums 2025.gadā un turpmākajos gados nav paredzēts likumā “Par valsts budžetu 2025. gadam un budžeta ietvaru 2025., 2026. un 2027. gadam”, tādējādi nodrošinot, ka informatīvā ziņojuma projektā ietvertos pasākumus ir iespējams īstenot piešķirtā finansējuma ietvaros, neuzņemoties saistības bez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Eiropas Savienības vispārējās izņēmuma klauzulas, kas ļāva atkāpties no ES Līgumos noteiktajiem vispārējās valdības budžeta deficīta (3% no IKP) un parāda (60% no IKP) ierobežojumiem  ir atcelta ar 2024.gadu un stājušies spēkā ES Stabilitātes un izaugsmes pakta nosacījumi (jaunie ES fiskālie noteikumi). Š.g.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valsts funkciju izpildē. Gatavojot valsts budžetu 2025.gadam,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pie situācijas, ja budžeta ieņēmumi 2025.gadā nepildīsies kā plānots, jau šobrīd var veidoties situācija, ka jāveic pasākumi izdevumu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jauni pasākumi nedrīkst palielināt budžeta deficītu ne 2025.gadam, ne sekojošajiem gadiem. Papildu izdevumu finansēšana iespējama piedāvājot jaunus diskrecionāros ieņēmumu pasākumus (piemēram, izmaiņas ieņēmumu bāzē vai likmēs), vai samazinot citus izdevumus, lai rastu nepieciešamo finansējumu jaunu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precizējama informatīvā ziņojuma projekta sadaļa “Ievads”, norādot, ka informatīvā ziņojuma projektā ietvertie pasākumi īstenojami piešķirtā finansējuma ietvaros, kā arī papildināma III sadaļa “Plānotie pasākumi”, katra pasākuma īstenošanai norādot nepieciešamo finansējumu un finansējuma avotu (piešķirtā finansējuma ietvaros) sadalījumā pa ministrijām un gadiem. Vienlaikus nepieciešams precizēt MK sēdes protokollēmuma projekta 2.punktu, izsakot to šādā redakcijā: “2. Ministrijām un citām institūcijām informatīvajā ziņojumā iekļautos pasākumus īstenot no tām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projekta 2.2.1.plānotajā pasākumā “Īres mājokļu attīstība” informāciju, ka nepieciešams “piesaistīt papildu finansējumu zemas īres maksas mājokļu būvniecības atbalsta programmas īstenošanai no Eiropas Savienības struktūrfondiem”, ņemot vērā, ka 2025.gadā plānots piešķirt papildus Atveseļošanas un noturības mehānisma finansējumu 3.1.1.7.i investīcijas “Aizdevumi nekustamā īpašuma attīstītājiem zemas īres maksas mājokļu būvniecībai” īstenošanai 29 020 919 euro apmērā, vienlaikus papildinot ar zemsvītras atsauci uz Atveseļošanas un noturības mehānisma finansējumu 3.1.1.4.i "Finansēšanas fonda izveide zemas īres mājokļu būvniecībai" un 3.1.1.7.i "Aizdevumi nekustamā īpašuma attīstītājiem zemas īres maksas mājokļu būvniecībai"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Radvila-Kozlovska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informatīvā ziņojuma projekta 3. sadaļas “Demogrāfisko situāciju ietekmējošie faktori”  paragrāfu </w:t>
            </w:r>
            <w:r w:rsidR="00000000" w:rsidRPr="00000000" w:rsidDel="00000000">
              <w:rPr>
                <w:i w:val="1"/>
                <w:rtl w:val="0"/>
              </w:rPr>
              <w:t xml:space="preserve">“JSPA projekta “Proti un dari!” mērķis ir attīstīt mērķa grupas jauniešu (vecumā no 15 līdz 29 gadiem), kuri nemācās, nestrādā, neapgūst arodu, prasmes un veicināt viņu iesaisti izglītībā, tai skaitā aroda apguvē pie amata meistara, nodarbinātībā, NVA īstenotajos aktīvās darba tirgus politikas pasākumos, kā arī nevalstisko organizāciju vai jauniešu centru darbībā. Projekta ietvaros ekonomiski neaktīvajiem jauniešiem ir pieejams mentora atbalsts (ne mazāk kā 20 stundas mēnesī),  neformālās un ikdienas mācīšanās,  speciālistu (psihologs, karjeras konsultants, surdotulks, asistents u. c., izņemot ārstniecības personālu) konsultācijas,  dalība nometnēs, semināros, sporta aktivitātēs, kultūras pasākumos, brīvprātīgā darba aktivitātes, iesaiste nevalstisko organizāciju un jauniešu centru aktivitātēs, pasākumos un projektos, profesijas specifikas iepazīšana, tai skaitā vizītes uzņēmumos, lai izdarītu izvēli attiecībā uz nākotnes profesiju u.c. pasākumi. JSPA projektu īsteno sadarbībā ar pilsētu vai novadu pašvaldībām vai pašvaldību apvienībām (sadarbības partneri), valsts un pašvaldības institūcijām, biedrībām, nodibinājumiem.”</w:t>
            </w:r>
            <w:r w:rsidR="00000000" w:rsidRPr="00000000" w:rsidDel="00000000">
              <w:rPr>
                <w:rtl w:val="0"/>
              </w:rPr>
              <w:t xml:space="preserve"> ar atsauci uz Eiropas Savienības kohēzijas politikas programmas 2021.–2027. gadam 4.2.3.4. pasākumu "Sekmēt NEET jauniešu integrēšanos izglītībā un nodarbinātībā".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katram ziņojumā ietvertam pasākumam, kuru pilnībā vai daļēji ir plānots finansēt Eiropas Savienības kohēzijas politikas programmas 2021.–2027. gadam ietvaros vai tas tika finansēts Darbības programmas “Izaugsme un nodarbinātība” ietvaros, norādīt attiecīgās programmas pasākuma vai projekta numuru. Piemēram, 116. zemsvītras atsaucē ir minēts "1 90 500 euro, projekta īstenošanas periodā no ES fondiem", kā arī 3.3.4. pasākumā ir minēti divi ESF projekti, bez apzīmējumiem.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piemēram, 3.1.1., 3.3.4., 4.1.4., 4.1.6., 6.1.4.plānoto pasākumu sasaisti ar ES kohēzijas politikas programmas 2021.-2027.gadam 4.1.2. un 4.2.2.specifiskā atbalsta mērķa ietvaros īstenotajiem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saīsinājumu sadaļu ar saīsinājumu un tā atšifrējumu “ESF+ – Eiropas Sociālais fonds Plus”, ņemot vērā ziņojuma projektā lietoto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informatīvā ziņojuma projekta 2.5.4. pasākumā sniegto informāciju par minēto fondu no "Eiropas Savienības fonda projektu" uz "ESF+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ziņojuma projektu ar jēdziena "demogrāfija" skaidrojumu, tādējādi akcentējot, ka demogrāfija nav tikai par dzimstības veicināšanu, bet skatāma plašākā kontekstā; kā arī papildināt ziņojuma projektu ar galveno tā izstrādes mērķi, kā arī plānotajiem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projektā norādīto informāciju: “</w:t>
            </w:r>
            <w:r w:rsidR="00000000" w:rsidRPr="00000000" w:rsidDel="00000000">
              <w:rPr>
                <w:i w:val="1"/>
                <w:rtl w:val="0"/>
              </w:rPr>
              <w:t xml:space="preserve">…EM plāno ikgadēji valsts budžeta prioritāro pasākumu ietvaros pieprasīt papildus finansējumu programmas nepārtrauktai īstenošanai 2026. un 2027. gadā 30 miljons euro apmērā ik gadu, kā arī meklē risinājumus papildus finansējuma piesaistei no Eiropas Savienības </w:t>
            </w:r>
            <w:r w:rsidR="00000000" w:rsidRPr="00000000" w:rsidDel="00000000">
              <w:rPr>
                <w:i w:val="1"/>
                <w:u w:val="single"/>
                <w:rtl w:val="0"/>
              </w:rPr>
              <w:t xml:space="preserve">struktūrfondiem.</w:t>
            </w:r>
            <w:r w:rsidR="00000000" w:rsidRPr="00000000" w:rsidDel="00000000">
              <w:rPr>
                <w:rtl w:val="0"/>
              </w:rPr>
              <w:t xml:space="preserve">”, ņemot vērā, ka apzīmējums “</w:t>
            </w:r>
            <w:r w:rsidR="00000000" w:rsidRPr="00000000" w:rsidDel="00000000">
              <w:rPr>
                <w:b w:val="1"/>
                <w:rtl w:val="0"/>
              </w:rPr>
              <w:t xml:space="preserve">Eiropas Savienības struktūrfondi</w:t>
            </w:r>
            <w:r w:rsidR="00000000" w:rsidRPr="00000000" w:rsidDel="00000000">
              <w:rPr>
                <w:rtl w:val="0"/>
              </w:rPr>
              <w:t xml:space="preserve">” tika lietos Eiropas Savienības struktūrfondu un Kohēzijas fonda </w:t>
            </w:r>
            <w:r w:rsidR="00000000" w:rsidRPr="00000000" w:rsidDel="00000000">
              <w:rPr>
                <w:b w:val="1"/>
                <w:rtl w:val="0"/>
              </w:rPr>
              <w:t xml:space="preserve">2014.-2020.gada plānošanas periodā</w:t>
            </w:r>
            <w:r w:rsidR="00000000" w:rsidRPr="00000000" w:rsidDel="00000000">
              <w:rPr>
                <w:rtl w:val="0"/>
              </w:rPr>
              <w:t xml:space="preserve">, savukārt Eiropas Savienības fondu 2021.-2027.gada plānošanas periodā tiek lietots apzīmējums “Eiropas Savienības fondi”.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Attiecīgus precizējumus lūdzam veikt arī pie 2.2.1.pasākuma redakcijas: "</w:t>
            </w:r>
            <w:r w:rsidR="00000000" w:rsidRPr="00000000" w:rsidDel="00000000">
              <w:rPr>
                <w:i w:val="1"/>
                <w:rtl w:val="0"/>
              </w:rPr>
              <w:t xml:space="preserve">Īres mājokļu attīstība: Piesaistīt papildu finansējumu zemas īres maksas mājokļu būvniecības atbalsta programmas īstenošanai no Eiropas Savienības </w:t>
            </w:r>
            <w:r w:rsidR="00000000" w:rsidRPr="00000000" w:rsidDel="00000000">
              <w:rPr>
                <w:i w:val="1"/>
                <w:u w:val="single"/>
                <w:rtl w:val="0"/>
              </w:rPr>
              <w:t xml:space="preserve">struktūrfondiem</w:t>
            </w:r>
            <w:r w:rsidR="00000000" w:rsidRPr="00000000" w:rsidDel="00000000">
              <w:rPr>
                <w:i w:val="1"/>
                <w:rtl w:val="0"/>
              </w:rPr>
              <w:t xml:space="preserve">, vai vidēja termiņa budžeta sagatavošanas procesā.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statistikas datiem, t.sk. par veikto abortu skaitu, ņemot vērā, ka ziņojuma 3.sadaļā to skaits ir minēts kā sabiedrības zināšanu rādītājs, bet statistikas dati ir norādīti tikai par nepilngadīgo grūtnieču skaitu: ''</w:t>
            </w:r>
            <w:r w:rsidR="00000000" w:rsidRPr="00000000" w:rsidDel="00000000">
              <w:rPr>
                <w:i w:val="1"/>
                <w:rtl w:val="0"/>
              </w:rPr>
              <w:t xml:space="preserve">Viens no rādītājiem, kas raksturo sabiedrības zināšanas par seksuālās un reproduktīvās veselības jautājumiem, tai skaitā izpratni par atbildīgām savstarpējām attiecībām, kā arī par pusaudžu un jauniešu spēju šīs zināšanas īstenot, ir nepilngadīgo grūtnieču skaits, kā arī mākslīgi veikto abortu skaits nepilngadīgām jaunietēm.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3. sadaļā “Demogrāfisko situāciju ietekmējošie faktori” (turpmāk – 3.sadaļa) minēto Nodarbinātības valsts aģentūras projektu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w:t>
            </w:r>
            <w:r w:rsidR="00000000" w:rsidRPr="00000000" w:rsidDel="00000000">
              <w:rPr>
                <w:b w:val="1"/>
                <w:rtl w:val="0"/>
              </w:rPr>
              <w:t xml:space="preserve"> Nr. 4.3.3.5/1/24/I/001 </w:t>
            </w:r>
            <w:r w:rsidR="00000000" w:rsidRPr="00000000" w:rsidDel="00000000">
              <w:rPr>
                <w:rtl w:val="0"/>
              </w:rPr>
              <w:t xml:space="preserve">“Atbalsts labākam un ilgākam darba mūžam”;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w:t>
            </w:r>
            <w:r w:rsidR="00000000" w:rsidRPr="00000000" w:rsidDel="00000000">
              <w:rPr>
                <w:b w:val="1"/>
                <w:rtl w:val="0"/>
              </w:rPr>
              <w:t xml:space="preserve">Nr. 3.1.2.5.i.0/1/23/I/CFLA/001</w:t>
            </w:r>
            <w:r w:rsidR="00000000" w:rsidRPr="00000000" w:rsidDel="00000000">
              <w:rPr>
                <w:rtl w:val="0"/>
              </w:rPr>
              <w:t xml:space="preserve"> "Prasmju pilnveide pieaugušajiem", tādējādi nodrošinot attiecīgo ES fondu pasākumu identificēšanu.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ziņojuma projektā minētās sociālās kampaņas būs efektīvākais veids kā veicināt demogrāfijas attīstību. Kopumā šajā ziņojuma projektā identificējamas aptuveni 10 (desmit) kampaņas. Kā viens no galvenajiem sociālo reklāmu efektivitātes kritērijiem ir tas, cik skaidrs un nepārprotams ir sociālajā reklāmā iekļautais vēstījums - jo precīzāk reklāmā tiek ilustrēta pastāvošā problēma un piedāvāts konkrēts rīcības risinājums, jo lielāka ir varbūtība, ka cilvēki rīkosies tā, kā no viņiem tiek sagaidīts. Taču ne vienmēr pēc sociālo reklāmu noskatīšanās seko konkrēta rīcība, kas samazina reklāmas radīto ietekmi uz auditoriju.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vērtēt, vai sociālās kampaņas būtu efektīvākais risinājums demogrāfijas attīstībai, tostarp tādu mērķu sasniegšanā,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vērtību stiprināšana, organizējot dažādas informatīvās un sociālās kampaņas par ģimenēm un bērniem kā vērtību sabiedrībā, </w:t>
            </w:r>
            <w:r w:rsidR="00000000" w:rsidRPr="00000000" w:rsidDel="00000000">
              <w:rPr>
                <w:b w:val="1"/>
                <w:rtl w:val="0"/>
              </w:rPr>
              <w:t xml:space="preserve">mazinot stereotipus un negatīvo fonu par bērnu “dārdzību”, grūtībām audzinot, smagām dzemdībām, nespēju apvienot karjeru, izglītību un labklājību veidojot lielu ģimeni.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24.02.2025.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24.02.2025.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