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Viens no VARAM darbības stratēģijas 2020.-2023.gadam rādītājiem ir šāds: Iedzīvotāju īpatsvars, kas izmanto internetu sadarbībai ar valsts un pašvaldību institūcijām (%). VARAM ir būtiski savlaicīgi izvērtēt darbības rādītāju ieguves avotu turpmākajiem gadiem.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MK noteikumu projektā iekļautais 20. pielikuma ““Veidlapas Nr. IKT-personas “Interneta lietošana 2024. gadā” paraugs”, turpmāk - veidlapa, C daļas rezultāti tiek izmantoti minētajam rāditājam. Aicinām anotācijā norādīt interneta lietošanas aptaujas regularitāti laika posmā 2024.-2030.gads.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Maija Anspoka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25.08.2023.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25.08.2023.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