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Priekšlikumi par slimnīcu tīkla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joprojām nesatur indikatīvu finanšu novērtējamu par slimnīcu tīkla stiprināšanai nepieciešamajiem līdzekļiem. Tāpat joprojām netiek izvirzīti rezultatīvie rādītāji, kas ar šīm izmaiņām tiktu panākti, proti, kādi izmērāmi rādītāji uzlabosies gan veselības aprūpes klientiem (pacientiem), gan šajā nozarē nodarbinātajiem. Ziņojumā ietvertie slimnīcu tīkla ieguvumi (36. – 37. lpp.) ir vispārīgi un nesniedz priekšstatu par plānoto uzlabojumu efektivitāti un ietekmi uz veselības aprūpes ilgtspēju (piemēram, tiek norādīts, ka “Pacientam tiks nodrošināta kvalitatīva un nepārtraukta veselības aprūpe visā ārstniecības procesā”, kā arī tiks ieviesta “Koordinēta, uz pacienta vajadzībām vērsta veselības aprūpe ar efektīvu 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Riekstiņš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par uzdevumu, kas skar primārās veselības aprūpes stiprināšanu, cilvēkkapitāla attīstību un digitālo transformāciju, iekļaušanu Ziņojumā. Nevar noliegt, ka veselības nozare ir vienots mehānisms, kurā izmaiņas vienā elementā ietekmē arī citas šīs nozares jomas, taču Ziņojumā skaidri noteikts, ka ar tā saturu tiek pildīts 2023. gada 6. marta MK veidojošo 14. Saeimas frakciju politisko pārstāvju Sadarbības sanāksmē noteiktais uzdevums sniegt priekšlikumus tieši par slimnīcu tīkla stiprināšanu. Ņemot vērā, ka slimnīcu tīkla pilnveidi var noteikt citi nozares faktori, VM, protams, ir tiesīga Ziņojumā atsaukties uz citos informatīvajos ziņojumos vai plānošanas dokumentos noteiktajiem mērķiem un uzdevumiem, skaidrojot, kā to izpilde ietekmēs slimnīcu tīklu, taču šādu ar Ziņojuma mērķi nesaistītu uzdevumu un to izpildes termiņu iekļaušana šajā dokumentā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Riekstiņš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līdz 2023.gada 30.augustam nodot starpministriju saskaņošanai grozījumus Ministru kabineta 2018.gada noteikumos Nr.555 “Veselības aprūpes pakalpojumu organizēšanas un samaksas kārtība”, kuros noteiktas vienotas prasības cilvēkresursiem un materiāltehniskajam nodrošinājumam slimnīcu pakalpojumu pamatprofiliem, kas nepieciešams ārstniecības iestāžu darbības nodrošināšanai un finansiālais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saprotama Protokollēmuma projekta 2. un 4. punkta sasaiste ar Ziņojumu un tur noteikto veicamo uzdevumu laika grafiku. Saskaņā ar VM piedāvāto redakciju (protokollēmuma projekta 2. punkts) ir secināms, ka 2023.gada 30.augustā tiks nodoti starpministriju  saskaņošanā grozījumi MK 2018.gada 28.augusta noteikumos Nr.555 “Veselības aprūpes pakalpojumu organizēšanas un samaksas kārtība”, nosakot arī finansiālo novērtējumu. Savukārt līdz 2023.gada 29.decembrim MK plānots iesniegt grozījumus iepriekšminētajos MK noteikumos (protokollēmuma projekta 4. punkts), nosakot stacionārajām ārstniecības iestādēm veselības aprūpes pamatpakalpojumu profilus, un grozījumus Ministru kabineta  2009.gada noteikumos Nr.60 “Noteikumi par obligātajām prasībām ārstniecības iestādēm un to struktūrvienībām”, nosakot kvalitatīvos rādītājus stacionārajām ārstniecības iestādēm veselības aprūpes  pakalpojumu pamatprofiliem (protokollēmuma projekta 3.punkts). No Ziņojumā ietvertajiem uzdevumiem secināms, ka nepieciešamais finansējums tiks aprēķināts, balstoties uz izvirzītajiem kvalitātes kritērijiem, līdz ar to rodas jautājums, kā ir iespējams līdz 2023. gada 30.augustam iesniegt detalizētus finanšu aprēķinus, ja tajā brīdī kvalitātes kritēriji, kas ir šī finanšu aprēķina pamatā, vēl tiek sagatavoti un iesniegti izskatīšanai MK līdz 2023.gada 29.decembrim.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 punktā minēto noteikumu projektu skatīt Ministru kabinetā likumprojekta par valsts budžetu 2024.gadam un likumprojekta par vidēja termiņa budžeta ietvaru 2024., 2025. un 2026. gadam sagatavošanas procesa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7.punktu,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Ziņojumā minēto priekšlikumu finansiālais novērtējums tiks sniegts, sagatavojot grozījumus MK 2018. gada 28. augusta noteikumos Nr.555 “Veselības aprūpes pakalpojumu organizēšanas un samaksas kārtība”, un jautājums par papildu valsts budžeta finansējuma piešķiršanu skatāms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26.05.2023.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26.05.2023.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Atzinumi_23-TA-1007.docx</dc:title>
</cp:coreProperties>
</file>

<file path=docProps/custom.xml><?xml version="1.0" encoding="utf-8"?>
<Properties xmlns="http://schemas.openxmlformats.org/officeDocument/2006/custom-properties" xmlns:vt="http://schemas.openxmlformats.org/officeDocument/2006/docPropsVTypes"/>
</file>