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 septembra noteikumu Nr.589 "Iekšlietu ministrijas nolikums" 4.1.7. apakšpunktu viena no Iekšlietu ministrijas funkcijām ir izstrādāt, organizēt un koordinēt politiku migrācijas jomā, tādēļ 6.1.9. pasākuma līdzatbildīgie ir jāpapildina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lappuses ceturtā rindkopā vārdus "finanšu un ekonomiskās krīzes" aizstāt ar vārdiem "finanšu un pārvaldes krīzes".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lappusē datiem par Lietuvu un Igauniju norādīt to ieguves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projektā informācijas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astotās lappuses piektā rindkopa un devītās lappuses trešā rindkopa </w:t>
            </w:r>
            <w:r w:rsidR="00000000" w:rsidRPr="00000000" w:rsidDel="00000000">
              <w:rPr>
                <w:i w:val="1"/>
                <w:rtl w:val="0"/>
              </w:rPr>
              <w:t xml:space="preserve">(Latvijas turpmākai demogrāfiskās situācijas uzlabošanai būtiska ir ne tikai materiālā atbalsta palielināšana saistībā ar bērna ienākšanu ģimenē, bet arī nepieciešamība uzlabot iespējas apvienot rūpes par ģimeni ar darba pienākumiem (tai skaitā bērna pieskatīšana) abiem vecākiem, mājokļu pieejamība jaunajām ģimenēm)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lappuses pirmā rindkopa un 16. lappuses trešā rindkopa</w:t>
            </w:r>
            <w:r w:rsidR="00000000" w:rsidRPr="00000000" w:rsidDel="00000000">
              <w:rPr>
                <w:i w:val="1"/>
                <w:rtl w:val="0"/>
              </w:rPr>
              <w:t xml:space="preserve"> (94,7 % bērnu vecumā līdz 17 gadiem dzimuši Latvijā, 7 278 jeb 2,0 % bērnu dzimuši Ukrainā, 1,3 % – Apvienotajā Karalistē, 0,3 % – Īrijā un Krievijā).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05.11.2024.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05.11.2024.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