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projekta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pašlaik norādīts, ka projekts šo jomu neskar. Tomēr robežšķērsošanas vietas “Pāternieki” darbības apturēšana var ietekmēt kravu un pasažieru pārvadātājus, loģistikas un citus ar pārrobežu apriti saistītus uzņēmumus, kā arī saimniecisko darbību pierobežas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anotācijā nepieciešams identificēt ietekmētās sabiedrības grupas un, izmantojot pieejamos datus, izvērtēt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līdzšinējo kravu un pasažieru plūsmu robežšķērsošanas vietā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ietekmi uz pārvadājumu maršrutiem, to garumu, ilgumu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ietekmi uz transporta un loģistikas nozares uzņēmumiem, īpaši mazajiem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ietekmi uz pārrobežu tirdzniecību, piegādes ķēdēm un Latgales reģiona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citas iespējamās tiešās un netiešās izmaksas uzņēmumiem un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Miķelsons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