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pārbaudījumu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deklarētā, reģistrētā vai norādītā dzīvesvietas adrese (tai skaitā arī adrese ārpus Latvijas);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Pārmērīga datu apstrāde. Nav ieraugāms leģitīms pamats personas datu apstrādei un to izmantošana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kontaktinformācija (tālruņa numurs, e-pasta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kontaktinformāciju ar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VPS tiek identificētas izmantojot personas kodu vai izglītības iestādes piešķirtu personas identifikācijas numuru, kas nesakrīt ar personas kodu. Ja personai Latvijā nav piešķirts personas kods, lai nodrošinātu personas identifikāciju, personai tiek norādīts unikāls identifikators, kas nesakrīt ar Latvijas Republikas personas kodu, piemēram, 11 ciparu kods, kas nesākas ar cipariem 0, 1, 2 vai 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Šobrīd VIIS metodikā, saistībā ar personu reģistrēšanu bez Latvijas Republikas personas koda, ir ieteikums reģistrēt koda pirmajā daļā izmantot dzimšanas dienas datuma datus, kurš vienmēr sāksies ar 0, 1, 2 vai 3, kas ir pretrunā ar risinājumā minēto izdomātā personas koda algoritmu, kā rezultātā nepieciešamas izmaiņas Valsts izglītības informācijas sistēmā, lūdzam skaidrot turpmākās rīcības:</w:t>
            </w:r>
            <w:r w:rsidR="00000000" w:rsidRPr="00000000" w:rsidDel="00000000">
              <w:rPr>
                <w:i w:val="1"/>
                <w:rtl w:val="0"/>
              </w:rPr>
              <w:t xml:space="preserve">1. ar līdz šim reģistrētajiem izdomātajiem personas kodiem?</w:t>
            </w:r>
            <w:r w:rsidR="00000000" w:rsidRPr="00000000" w:rsidDel="00000000">
              <w:rPr>
                <w:i w:val="1"/>
                <w:rtl w:val="0"/>
              </w:rPr>
              <w:t xml:space="preserve">2. kā tiks nodrošināts, lai turpmāk šādi kodi netiktu ievadīti?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28.02.2023.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28.02.2023.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Atzinumi_22-TA-1452.docx</dc:title>
</cp:coreProperties>
</file>

<file path=docProps/custom.xml><?xml version="1.0" encoding="utf-8"?>
<Properties xmlns="http://schemas.openxmlformats.org/officeDocument/2006/custom-properties" xmlns:vt="http://schemas.openxmlformats.org/officeDocument/2006/docPropsVTypes"/>
</file>