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16. jūnija noteikumos Nr. 383 "Noteikumi par garantijām saimnieciskās darbības veicējiem konkurētspējas uzlabošanai"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vienādu pieeju attiecībā uz garantijām, lūdzu risinājuma aprakstu papildināt ar informāciju par darbībām ar līdz šim jau izsniegtām 1.2.3.4 pasākuma portfeļgarantijām - vai tās ir jāizņem no apguves datiem (tātad arī no maksājuma pieprasījuma).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Artis Jurkevics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anotācijas 4.1.1. apakšsadaļā iekļautos vārdus “Darbības Programmas” ar korektu nosaukumu “Eiropas Savienības kohēzijas politikas programmas 2021.-2027. 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Gadījumā, ja Eiropas Komisija nesaskaņos Ekonomikas ministrijas piedāvātos grozījumus Eiropas Savienības kohēzijas politikas programmā 2021. - 2027.gadam, Ekonomikas ministrija veiks grozījumus šajā noteikumu projektā un 1.2.3.4. pasākuma Ministru kabineta noteikumos un ekonomikas ministram iesniegt tos izskatīšanai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viennozīmīgu interpretāciju par doto uzdevumu, atkārtoti lūdzam konkretizēt Ministru kabineta sēdes protokollēmuma projekta 4. punktā, kuros tieši Ministru kabineta noteikumos tiktu veikti grozījumi. Vienlaikus vēršam uzmanību, ka grozījumi netiek veikti noteikumu projektā, bet konkrētos noteikumos. Gadījumā, ja atsauce paredzēta tieši uz Ministru kabineta 2020. gada 16. jūnija noteikumiem Nr. 383 "Noteikumi par garantijām saimnieciskās darbības veicējiem konkurētspējas uzlabošanai" (turpmāk - noteikumi Nr. 383), lūdzam izteikt Ministru kabineta sēdes protokollēmuma projekta 4. 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Gadījumā, ja Eiropas Komisija nesaskaņos Ekonomikas ministrijas piedāvātos grozījumus Eiropas Savienības kohēzijas politikas programmā 2021. - 2027.gadam, Ekonomikas ministrijai sagatavot atbilstošus grozījumus Ministru kabineta 2020. gada 16. jūnija noteikumos Nr. 383 "Noteikumi par garantijām saimnieciskās darbības veicējiem konkurētspējas uzlabošanai", un ekonomikas ministram iesniegt tos izskatīšanai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Iesniedzot projekta pieteikumu sabiedrībā "Altum" atbalsta saņemšanai militāriem projektiem, iesniedz arī Aizsardzības ministrijas atzinumu par pieteiktā produkta atbilstību drošības un aizsardzības jomā. Lai nodrošinātu piešķirtā atbalsta atbilstību šiem noteikumiem, sabiedrībai "Altum" ir tiesības datus un projektu nodot Aizsardzības ministrijai, savukārt Aizsardzības ministrijai ir tiesības datus par gala saņēmēju un projektu nodot sabiedrībai "Altum".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uz kādu kategoriju datu nodošanu atsaucas noteikumu Nr. 383 plānotajā 5.</w:t>
            </w:r>
            <w:r w:rsidR="00000000" w:rsidRPr="00000000" w:rsidDel="00000000">
              <w:rPr>
                <w:vertAlign w:val="superscript"/>
                <w:rtl w:val="0"/>
              </w:rPr>
              <w:t xml:space="preserve">4</w:t>
            </w:r>
            <w:r w:rsidR="00000000" w:rsidRPr="00000000" w:rsidDel="00000000">
              <w:rPr>
                <w:rtl w:val="0"/>
              </w:rPr>
              <w:t xml:space="preserve"> punktā. Gadījumā, ja minētie dati var saturēt arī fizisko personu datus, lūdzam saskaņot noteikumu projektu arī ar Datu valsts inspekciju.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skaidrot anotācijā, kāda ir Aizsardzības ministrijas loma piešķirtā atbalsta atbilstības noteikumiem Nr. 383 nodrošināšanā, tostarp kontekstā ar noteikumu Nr. 383 plānotajā 5.</w:t>
            </w:r>
            <w:r w:rsidR="00000000" w:rsidRPr="00000000" w:rsidDel="00000000">
              <w:rPr>
                <w:vertAlign w:val="superscript"/>
                <w:rtl w:val="0"/>
              </w:rPr>
              <w:t xml:space="preserve">6</w:t>
            </w:r>
            <w:r w:rsidR="00000000" w:rsidRPr="00000000" w:rsidDel="00000000">
              <w:rPr>
                <w:rtl w:val="0"/>
              </w:rPr>
              <w:t xml:space="preserve"> punktā noteikto, ņemot vērā, ka atbilstoši anotācijā sniegtajai informācijai un noteikumu projektā paredzētajam Aizsardzības ministrija tikai </w:t>
            </w:r>
            <w:r w:rsidR="00000000" w:rsidRPr="00000000" w:rsidDel="00000000">
              <w:rPr>
                <w:u w:val="single"/>
                <w:rtl w:val="0"/>
              </w:rPr>
              <w:t xml:space="preserve">sniedz atzinumu</w:t>
            </w:r>
            <w:r w:rsidR="00000000" w:rsidRPr="00000000" w:rsidDel="00000000">
              <w:rPr>
                <w:rtl w:val="0"/>
              </w:rPr>
              <w:t xml:space="preserve"> par pieteiktā produkta atbilstību drošības un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precizēt arī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Aizsardzības ministrija 20 darbdienu laikā pēc iesnieguma saņemšanas izsniedz šo noteikumu 5.3 punktā minēto atzinumu. Aizsardzības ministrija var pagarināt atzinuma izsniegšanas termiņu par 10 darbdienām.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konkretizēt noteikumu Nr. 383 plānotajā 5.</w:t>
            </w:r>
            <w:r w:rsidR="00000000" w:rsidRPr="00000000" w:rsidDel="00000000">
              <w:rPr>
                <w:vertAlign w:val="superscript"/>
                <w:rtl w:val="0"/>
              </w:rPr>
              <w:t xml:space="preserve">5</w:t>
            </w:r>
            <w:r w:rsidR="00000000" w:rsidRPr="00000000" w:rsidDel="00000000">
              <w:rPr>
                <w:rtl w:val="0"/>
              </w:rPr>
              <w:t xml:space="preserve">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kurš subjekts iesniedz Aizsardzības ministrijā iesniegumu, un kam Aizsardzības ministrija iesniedz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ko tiek iesniegts iesniegums Aizsardzības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minēto punktu, ņemot vērā, ka atsauce uz 5.</w:t>
            </w:r>
            <w:r w:rsidR="00000000" w:rsidRPr="00000000" w:rsidDel="00000000">
              <w:rPr>
                <w:vertAlign w:val="superscript"/>
                <w:rtl w:val="0"/>
              </w:rPr>
              <w:t xml:space="preserve">3</w:t>
            </w:r>
            <w:r w:rsidR="00000000" w:rsidRPr="00000000" w:rsidDel="00000000">
              <w:rPr>
                <w:rtl w:val="0"/>
              </w:rPr>
              <w:t xml:space="preserve"> punktu nav korekta, jo attiecīgajā normā tiek regulēts jautājums par darbu 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Ar šo noteikumu </w:t>
            </w:r>
            <w:r w:rsidR="00000000" w:rsidRPr="00000000" w:rsidDel="00000000">
              <w:rPr>
                <w:rtl w:val="0"/>
              </w:rPr>
              <w:t xml:space="preserve">7.9.</w:t>
            </w:r>
            <w:r w:rsidR="00000000" w:rsidRPr="00000000" w:rsidDel="00000000">
              <w:rPr>
                <w:rtl w:val="0"/>
              </w:rPr>
              <w:t xml:space="preserve"> apakšpunktā</w:t>
            </w:r>
            <w:r w:rsidR="00000000" w:rsidRPr="00000000" w:rsidDel="00000000">
              <w:rPr>
                <w:rtl w:val="0"/>
              </w:rPr>
              <w:t xml:space="preserve"> minēto finansējumu sasniedzami šādi iznākuma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iekļaut arī īsu skaidrojumu par jauno piedāvāto grozījumu - noteikumu 7.</w:t>
            </w:r>
            <w:r w:rsidR="00000000" w:rsidRPr="00000000" w:rsidDel="00000000">
              <w:rPr>
                <w:vertAlign w:val="superscript"/>
                <w:rtl w:val="0"/>
              </w:rPr>
              <w:t xml:space="preserve">1</w:t>
            </w:r>
            <w:r w:rsidR="00000000" w:rsidRPr="00000000" w:rsidDel="00000000">
              <w:rPr>
                <w:rtl w:val="0"/>
              </w:rPr>
              <w:t xml:space="preserve"> punkta par Eiropas Savienības struktūrfondu un Kohēzijas fonda 2014. - 2020. gada plānošanas perioda garantiju pasākumu rādītāju svītrošanu.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sīkajam (mikro), mazajam un vidējam saimnieciskās darbības veicējam un ar to saistīto personu grupai atbilstoši Komisijas regulas Nr. 2023/2831 2. panta 2. punkta definīcijai 25 000 000 euro, ja bruto subsīdijas ekvivalents tiek aprēķināts saskaņā ar Komisijas Regulas (ES) Nr. 2023/28314. panta 6. punkta "c" apakšpunktu,  un garantijas sākotnējais termiņš nepārsniedz 10 gadus, vai ja saimnieciskās darbības veicējam un ar to saistīto personu grupai atbilstoši Komisijas regulas Nr. 651/2014 3. panta 3. punkta definīcijai nav pieejams de minimis limits vismaz atbalsta subsīdijas ekvivalenta apmērā garantija tiek sniegta kā reģionālais atbalstu saskaņā ar Komisijas regulas Nr. 651/2014 14.pantu;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un precizēt visu noteikumu 12.punktu, jo tas ietver nosacījumu par garantijas summu, piemērojot gan de minimis regulējumu, gan Komisijas 2014.gada 17.jūnija Regulu (ES) Nr.651/2014, ar ko noteiktas atbalsta kategorijas atzīst par saderīgām ar iekšējo tirgu, piemērojot Līguma 107. un 108.pantu (turpmāk – Komisijas regula Nr.651/2014). Vēršam uzmanību, ka, piemērojot Komisijas 2023.gada 13.decembra Regulu (ES) 2023/2831 par Līguma par Eiropas Savienības darbību 107. un 108.panta piemērošanu de minimis atbalstam, atbalstu vērtē viena vienota uzņēmuma līmenī, t.sk., sniedzot atsauci uz minētās regulas 2. panta 2. punkta definīciju (viens vienots uzņēmums). Savukārt, izvērtējot atbalsta, kuru piešķir ar Regulu Nr.651/2014, pieteikumu, nosacījumi tiek vērtēti saistīto uzņēmumu izpratnē, kur definīcija noteikta Komisijas regulas Nr.651/2014 I pielikuma 3. panta 3. punktā. Lūdzam skaidri 12.punkta sākumā un visos 12.punkta apakšpunktos korekti iekļaut atbilstošā piemērojamā regulējuma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2</w:t>
            </w:r>
            <w:r w:rsidR="00000000" w:rsidRPr="00000000" w:rsidDel="00000000">
              <w:rPr>
                <w:rtl w:val="0"/>
              </w:rPr>
              <w:t xml:space="preserve">3.3. ja uz to un ar to saistītu personu grupu atbilstoši Komisijas regulas Nr. 651/2014 3. panta 3. punkta definīcijai attiecas šīs regulas 1.panta 4.punktā minētais līdzekļu atgūšanas rīkojums saskaņā ar iepriekšēju Komisijas lēmumu, ar ko atbalsts, kuru piešķīrusi tā pati dalībvalsts, atzīts par nelikumīgu un nesaderīgu ar kopējo tirgu.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16.</w:t>
            </w:r>
            <w:r w:rsidR="00000000" w:rsidRPr="00000000" w:rsidDel="00000000">
              <w:rPr>
                <w:vertAlign w:val="superscript"/>
                <w:rtl w:val="0"/>
              </w:rPr>
              <w:t xml:space="preserve">2</w:t>
            </w:r>
            <w:r w:rsidR="00000000" w:rsidRPr="00000000" w:rsidDel="00000000">
              <w:rPr>
                <w:rtl w:val="0"/>
              </w:rPr>
              <w:t xml:space="preserve">3.3.apakšpuntā iekļautais nosacījums, kas izriet no Komisijas regulas Nr. 651/2014 1.panta 4. punkta par neizpildītu līdzekļu atgūšanas rīkojumu saskaņā ar iepriekšēju Komisijas lēmumu (vērtējot saistīto uzņēmumu grupas līmenī), nav attiecināms uz nozaru ierobežojošajiem nosacījumiem ("16.</w:t>
            </w:r>
            <w:r w:rsidR="00000000" w:rsidRPr="00000000" w:rsidDel="00000000">
              <w:rPr>
                <w:vertAlign w:val="superscript"/>
                <w:rtl w:val="0"/>
              </w:rPr>
              <w:t xml:space="preserve">2</w:t>
            </w:r>
            <w:r w:rsidR="00000000" w:rsidRPr="00000000" w:rsidDel="00000000">
              <w:rPr>
                <w:rtl w:val="0"/>
              </w:rPr>
              <w:t xml:space="preserve"> Ja garantija tiek piešķirta saskaņā ar Regulas Nr. 651/2014 14.pantu, garantiju nepiešķir šādām darbībām un nozarēm:"), tādējādi lūdzam šo nosacījumu izdalīt atsevišķi no noteikumu projekta 16.</w:t>
            </w:r>
            <w:r w:rsidR="00000000" w:rsidRPr="00000000" w:rsidDel="00000000">
              <w:rPr>
                <w:vertAlign w:val="superscript"/>
                <w:rtl w:val="0"/>
              </w:rPr>
              <w:t xml:space="preserve">2</w:t>
            </w:r>
            <w:r w:rsidR="00000000" w:rsidRPr="00000000" w:rsidDel="00000000">
              <w:rPr>
                <w:rtl w:val="0"/>
              </w:rPr>
              <w:t xml:space="preserve"> apakšpunkta.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noteikumu 16.</w:t>
            </w:r>
            <w:r w:rsidR="00000000" w:rsidRPr="00000000" w:rsidDel="00000000">
              <w:rPr>
                <w:vertAlign w:val="superscript"/>
                <w:rtl w:val="0"/>
              </w:rPr>
              <w:t xml:space="preserve">2</w:t>
            </w:r>
            <w:r w:rsidR="00000000" w:rsidRPr="00000000" w:rsidDel="00000000">
              <w:rPr>
                <w:rtl w:val="0"/>
              </w:rPr>
              <w:t xml:space="preserve">3.3. apakšpunkta redakciju, norādot precīzu atsauci uz saistīto personu grupas definīciju, kas noteikta Komisijas regulas Nr. 651/2014</w:t>
            </w:r>
            <w:r w:rsidR="00000000" w:rsidRPr="00000000" w:rsidDel="00000000">
              <w:rPr>
                <w:b w:val="1"/>
                <w:rtl w:val="0"/>
              </w:rPr>
              <w:t xml:space="preserve"> I pielikuma</w:t>
            </w:r>
            <w:r w:rsidR="00000000" w:rsidRPr="00000000" w:rsidDel="00000000">
              <w:rPr>
                <w:rtl w:val="0"/>
              </w:rPr>
              <w:t xml:space="preserve"> 3. panta 3.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40.2. līdz Komisijas regulas Nr. 651/2014  darbības beigām saskaņā ar šīs regulas 59.pantu.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plānoto 40.2. apakšpunktu ar atsauci uz Komisijas regulas Nr. 651/2014 58. panta 4. punktu, lai atspoguļotu to, ka atbalstu vēl var piešķirt 6 mēnešu ilgā pielāgošanās periodā pēc minētās regulas 59.punktā minētā piemēšanas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25-TA-400</w:t>
    </w:r>
    <w:r>
      <w:br/>
    </w:r>
    <w:r w:rsidR="00000000" w:rsidRPr="00000000" w:rsidDel="00000000">
      <w:rPr>
        <w:rtl w:val="0"/>
      </w:rPr>
      <w:t xml:space="preserve">Izdrukāts 17.07.2025. 14.08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25-TA-400</w:t>
    </w:r>
    <w:r>
      <w:br/>
    </w:r>
    <w:r w:rsidR="00000000" w:rsidRPr="00000000" w:rsidDel="00000000">
      <w:rPr>
        <w:rtl w:val="0"/>
      </w:rPr>
      <w:t xml:space="preserve">Izdrukāts 17.07.2025. 14.08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Atzinumi_25-TA-400.docx</dc:title>
</cp:coreProperties>
</file>

<file path=docProps/custom.xml><?xml version="1.0" encoding="utf-8"?>
<Properties xmlns="http://schemas.openxmlformats.org/officeDocument/2006/custom-properties" xmlns:vt="http://schemas.openxmlformats.org/officeDocument/2006/docPropsVTypes"/>
</file>