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25.19. informē aģentūru, ja šo noteikumu </w:t>
            </w:r>
            <w:r w:rsidR="00000000" w:rsidRPr="00000000" w:rsidDel="00000000">
              <w:rPr>
                <w:rtl w:val="0"/>
              </w:rPr>
              <w:t xml:space="preserve">25.18.</w:t>
            </w:r>
            <w:r w:rsidR="00000000" w:rsidRPr="00000000" w:rsidDel="00000000">
              <w:rPr>
                <w:rtl w:val="0"/>
              </w:rPr>
              <w:t xml:space="preserve"> apakšpunktā</w:t>
            </w:r>
            <w:r w:rsidR="00000000" w:rsidRPr="00000000" w:rsidDel="00000000">
              <w:rPr>
                <w:rtl w:val="0"/>
              </w:rPr>
              <w:t xml:space="preserve"> noteiktajā termiņā tiek mainīts ēkā veikto vides pieejamības pielāgojumu izmantošanas mērķis vai mainās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 informācija par finansējuma saņēmēja ēkām;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 un 4. punktā norādīt konkrētu termiņu, kādā veicamas attiecīgās darbības, tādējādi nodrošinot nepārprotamu attiecīgo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atmaksā saņemto finansējumu, ja tiek konstatēts vismaz viens no šādiem apstākļiem: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 punktā norādīt, kāds finansējums atmaksājams un subjektu, kam šis finansējums atmaksājams.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atmaksā saņemto finansējumu, ja tiek konstatēts vismaz viens no šādiem apstākļiem: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vienpusējas atkāpšanās no līguma par projekta īstenošanu gadījumos var rasties pienākums atmaksāt finansējumu, lūdzam izvērtēt un noteikumu projekta 3. punktā ietvertā  Ministru kabineta 2022. gada 20. septembra noteikumu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25.20. apakšpunktā paredzēto regulējumu ietvert attiecīgo noteikumu 31. punktā, jo pretējā gadījumā nav viennozīmīgi skaidrs, vai 25.20. apakšpunktā paredzētajā situācijā paredzēta vienpusēja atkāpšanās no līguma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25.20.2. ēkā veiktie vides pielāgojumi neatbilst minimālajām vides pieejamības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pamattiesības ikvienam zināt savas tiesības (finansējuma saņēmēji ir arī privātpersonas) un Ministru kabineta 2009. gada 3. februāra noteikumu Nr. 108 "Normatīvo aktu projektu sagatavošanas noteikumi" 131. punktu, lūdzam noteikumu projektu papildināt ar minimālajām vides pieejamības prasībām vai kritējiem, atbilstoši kuriem atbilstība minimālajām prasībām ir izvērtējama, vai arī ar atsauci uz attiecīgo normatīvo aktu, kur noteiktas minimālās vides pieejamības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23-TA-2351</w:t>
    </w:r>
    <w:r>
      <w:br/>
    </w:r>
    <w:r w:rsidR="00000000" w:rsidRPr="00000000" w:rsidDel="00000000">
      <w:rPr>
        <w:rtl w:val="0"/>
      </w:rPr>
      <w:t xml:space="preserve">Izdrukāts 16.10.2023.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23-TA-2351</w:t>
    </w:r>
    <w:r>
      <w:br/>
    </w:r>
    <w:r w:rsidR="00000000" w:rsidRPr="00000000" w:rsidDel="00000000">
      <w:rPr>
        <w:rtl w:val="0"/>
      </w:rPr>
      <w:t xml:space="preserve">Izdrukāts 16.10.2023.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Atzinumi_23-TA-2351.docx</dc:title>
</cp:coreProperties>
</file>

<file path=docProps/custom.xml><?xml version="1.0" encoding="utf-8"?>
<Properties xmlns="http://schemas.openxmlformats.org/officeDocument/2006/custom-properties" xmlns:vt="http://schemas.openxmlformats.org/officeDocument/2006/docPropsVTypes"/>
</file>