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Pasākuma ietvaros līdz 2029. gadam sasniedzams šāds nacionālais rādītājs - atbalstīto komersantu darba spēka produktivitātes pieaugums – vismaz 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ir papildināti ar jauniem nosacījumiem finansējuma saņēmējiem un gala labuma guvējiem. Vēršam uzmanību, ka no noteikumu projekta anotācijā sniegtā skaidrojuma nerodas pārliecība, ka minētie grozījumi atbilst tiesiskās paļāvības principam un kā tie ietekmēs jau izsniegto atbalstu, kas izsniegts šo noteikumu ietvaros gala labuma guvējiem (privātpersonām). 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grozījumu (piemēram,  77.</w:t>
            </w:r>
            <w:r w:rsidR="00000000" w:rsidRPr="00000000" w:rsidDel="00000000">
              <w:rPr>
                <w:vertAlign w:val="superscript"/>
                <w:rtl w:val="0"/>
              </w:rPr>
              <w:t xml:space="preserve">1</w:t>
            </w:r>
            <w:r w:rsidR="00000000" w:rsidRPr="00000000" w:rsidDel="00000000">
              <w:rPr>
                <w:rtl w:val="0"/>
              </w:rPr>
              <w:t xml:space="preserve">,77.</w:t>
            </w:r>
            <w:r w:rsidR="00000000" w:rsidRPr="00000000" w:rsidDel="00000000">
              <w:rPr>
                <w:vertAlign w:val="superscript"/>
                <w:rtl w:val="0"/>
              </w:rPr>
              <w:t xml:space="preserve">2</w:t>
            </w:r>
            <w:r w:rsidR="00000000" w:rsidRPr="00000000" w:rsidDel="00000000">
              <w:rPr>
                <w:rtl w:val="0"/>
              </w:rPr>
              <w:t xml:space="preserve"> un 77.</w:t>
            </w:r>
            <w:r w:rsidR="00000000" w:rsidRPr="00000000" w:rsidDel="00000000">
              <w:rPr>
                <w:vertAlign w:val="superscript"/>
                <w:rtl w:val="0"/>
              </w:rPr>
              <w:t xml:space="preserve">3</w:t>
            </w:r>
            <w:r w:rsidR="00000000" w:rsidRPr="00000000" w:rsidDel="00000000">
              <w:rPr>
                <w:rtl w:val="0"/>
              </w:rPr>
              <w:t xml:space="preserve"> punkts) redakcijām izriet regulējuma piemērošana ar atpakaļejošu spēku. Latvijas tiesību sistēmā nav piemērojamas tiesību normas ar atpakaļejošu spēku. Proti, Oficiālo publikāciju un tiesiskās informācijas likuma 9. panta ceturtā daļā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anotācijā izvērsti skaidrot, kā noteikumu projektā paredzētie grozījumi par nacionālo rādītāju – produktivitātes pieaugumu - ietekmēs personas (gala labuma guvēju), kuras jau ir saņēmušas atbalstu (vai minētajām personām pasliktināsies tiesiski iegūtais stāvoklis), tai skaitā, vai atbalstu saņēmušās personas ir informētas par iespējamiem grozījumiem un tās brīvprātīgi piekritušas šādiem grozījumiem. Ja minētie grozījumi negatīvi un bez būtiska pamatojuma ietekmēs personu jau iegūtās tiesības, Tieslietu ministrija nevar atbalstīt minēto tiesību normu ietveršanu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Atbildīgā iestāde uzrauga šo noteikumu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punktā minētā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skaidrot, kā atbildīgā iestāde vērtēs nacionālo rādītāju - atbalstīto komersantu darba spēka produktivitātes pieaugums (piemēram, kādiem datiem,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23-TA-2977</w:t>
    </w:r>
    <w:r>
      <w:br/>
    </w:r>
    <w:r w:rsidR="00000000" w:rsidRPr="00000000" w:rsidDel="00000000">
      <w:rPr>
        <w:rtl w:val="0"/>
      </w:rPr>
      <w:t xml:space="preserve">Izdrukāts 24.11.2023.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23-TA-2977</w:t>
    </w:r>
    <w:r>
      <w:br/>
    </w:r>
    <w:r w:rsidR="00000000" w:rsidRPr="00000000" w:rsidDel="00000000">
      <w:rPr>
        <w:rtl w:val="0"/>
      </w:rPr>
      <w:t xml:space="preserve">Izdrukāts 24.11.2023.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Atzinumi_23-TA-2977.docx</dc:title>
</cp:coreProperties>
</file>

<file path=docProps/custom.xml><?xml version="1.0" encoding="utf-8"?>
<Properties xmlns="http://schemas.openxmlformats.org/officeDocument/2006/custom-properties" xmlns:vt="http://schemas.openxmlformats.org/officeDocument/2006/docPropsVTypes"/>
</file>