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Transportlīdzekļu un to vadītāju valsts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taksometru un taksometra speciālo atļauju (licenci) vai licences kartīti: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transportlīdzekļu un to vadītāju valsts reģistrā iekļautā informācija tiek izmantota darba vai dienesta funkciju veikšanai, lai kontrolējošām iestādēm atvieglotu kontroles iespējas, lūdzam izvērtēt iespēju noteikumu 3.13. apakšpunkta papildināšanai ar sekojošu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liegums izmantot konkrēto transportlīdzekli pasažieru komercpārvadājumos ar taksometru un vieglo automobili;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liegums veikt pasažieru komercpārvadājumus ar taksometru un vieglu automobili.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Finanšu ministrija ir izstrādājusi likumprojektu "Grozījumi likumā "Par nodokļiem un nodevām"" (22-TA-2462) (budžeta pakas projekts), kas paredz par likuma "Par nodokļiem un nodevām" 135. un 138. panta un 140. panta pirmajā, otrajā, ceturtajā, piektajā un sestajā daļā noteiktajiem administratīvajiem pārkāpumiem noteikt arī papildsodu, proti, </w:t>
            </w:r>
            <w:r w:rsidR="00000000" w:rsidRPr="00000000" w:rsidDel="00000000">
              <w:rPr>
                <w:i w:val="1"/>
                <w:rtl w:val="0"/>
              </w:rPr>
              <w:t xml:space="preserve">“fiziskajai  vai juridiskajai personai, kas veic pasažieru komercpārvadājumu ar taksometru vai vieglo automobili, atņemot tiesības izmantot konkrēto transportlīdzekli pasažieru komercpārvadājumos ar taksometru un vieglo automobili uz laiku līdz diviem gadiem vai bez tā, vai atņemot tiesības veikt pasažieru komercpārvadājumus ar taksometru un vieglo automobili uz laiku līdz diviem gadiem vai bez tā.”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piemēroto papildsodu, kā arī informāciju par procesuālo piespiedu līdzekli, kurš pārkāpējam varētu tikt piemērots atbilstoši Administratīvās atbildības likuma 272. pantā un 273. pantā noteiktajam, paredzēts reģistrēt CSDD uzturētajā Transportlīdzekļu un to vadītāju valsts reģistrā. Līdz ar to arī līdz brīdim, kad stāsies spēkā lēmums administratīvā pārkāpuma lietā, transportlīdzekli nevarēs izmantot pasažieru komercpārvadājumos ar taksometru vai vieglo automobili. Kombinējot procesuālo piespiedu līdzekli ar papildsodu administratīvā pārkāpuma lietā, tiks veidots efektīvs tiesiskais mehānisms, kas ļaus efektīvi cīnīties ar ēnu ekonomiku pasažieru komercpārvadājumu ar taksometriem vai vieglajiem automobiļiem nozarē. Plānots, ka likumā "Par nodokļiem un nodevām" iekļautais/virzītais regulējums stāsies spēkā ar 2025.gada 1.janvāri.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Zviedre-Koņuševska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7.10. personām, kas normatīvajos aktos noteiktajā kārtībā pieņem lēmumu par taksometra speciālās atļaujas (licences) piešķiršanu, anulēšanu vai tās darbības apturēšanu un licences kartītes piešķiršanu, anulēšanu vai tās darbības apturēšanu;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vai arī izziņā pret šo priekšlikumu norādīt, kurš normatīvais akts paredz tieši </w:t>
            </w:r>
            <w:r w:rsidR="00000000" w:rsidRPr="00000000" w:rsidDel="00000000">
              <w:rPr>
                <w:u w:val="single"/>
                <w:rtl w:val="0"/>
              </w:rPr>
              <w:t xml:space="preserve">taksometra speciālās atļaujas (licences) darbības apturēšanas un licences kartītes darbības apturēšanas iespēju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Runča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24-TA-1210</w:t>
    </w:r>
    <w:r>
      <w:br/>
    </w:r>
    <w:r w:rsidR="00000000" w:rsidRPr="00000000" w:rsidDel="00000000">
      <w:rPr>
        <w:rtl w:val="0"/>
      </w:rPr>
      <w:t xml:space="preserve">Izdrukāts 08.10.2024. 13.53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24-TA-1210</w:t>
    </w:r>
    <w:r>
      <w:br/>
    </w:r>
    <w:r w:rsidR="00000000" w:rsidRPr="00000000" w:rsidDel="00000000">
      <w:rPr>
        <w:rtl w:val="0"/>
      </w:rPr>
      <w:t xml:space="preserve">Izdrukāts 08.10.2024. 13.53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Atzinumi_24-TA-1210.docx</dc:title>
</cp:coreProperties>
</file>

<file path=docProps/custom.xml><?xml version="1.0" encoding="utf-8"?>
<Properties xmlns="http://schemas.openxmlformats.org/officeDocument/2006/custom-properties" xmlns:vt="http://schemas.openxmlformats.org/officeDocument/2006/docPropsVTypes"/>
</file>