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Ceturkšņa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Sagatavotajā tiesību akta Anotācijā pie Citas informācijas [6] punkta norādīta informācija par ārvalstu valūtas pārrēķināšanu uz </w:t>
            </w:r>
            <w:r w:rsidR="00000000" w:rsidRPr="00000000" w:rsidDel="00000000">
              <w:rPr>
                <w:i w:val="1"/>
                <w:rtl w:val="0"/>
              </w:rPr>
              <w:t xml:space="preserve">euro</w:t>
            </w:r>
            <w:r w:rsidR="00000000" w:rsidRPr="00000000" w:rsidDel="00000000">
              <w:rPr>
                <w:rtl w:val="0"/>
              </w:rPr>
              <w:t xml:space="preserve"> valūtu, savukārt noteikumu projektā (23-TA-211) “Ceturkšņa pārskata sagatavošanas kārtība” šī informācija netiek norādīta.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visas budžeta iestādes, no valsts budžeta daļēji finansētas atvasinātas publiskas personas un budžeta nefinansētas iestādes (turpmāk – iestāde) veiktu korektu un piemērotu vienotu metodiku ārvalstu valūtas pārrēķinu veikšanai uz euro valūtu, un izvairītos no katras iestādes individuālas interpretācijas, uzskatām, ka anotācijā norādītā informācija ir jāiekļauj arī noteikumu projektā, kā tas norādīts šobrīd spēkā esošo 2019. gada 29. janvāra Ministru kabineta noteikumu Nr. 51 “Ceturkšņa pārskatu sagatavošanas un iesniegšanas kārtība” 12.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naudas līdzekļi, prasības vai saistības, kuras izpildot sagaidāma naudas līdzekļu saņemšana vai izdošana, uzskaitītas citā valūtā: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pārrēķinu euro pārskata perioda beigās (izņemot pārrēķinu pārskata gada beigās) veic pēc Eiropas Centrālās bankas publicētā euro atsauces kursa, kurš ir spēkā pārskata perioda pēdējās dienas 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IV ceturkšņa pārskatā pārrēķinu euro veic pēc Eiropas Centrālās bankas publicētā euro atsauces kursa, kurš ir spēkā pārskata perioda pēdējās dienas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tām ārvalstu valūtām, kurām Eiropas Centrālā banka nepublicē euro atsauces kursu, piemēro pasaules finanšu tirgus atzītā finanšu nozares periodiskajā izdevumā vai tā interneta resursā publicēto valūtas tirgus kursu attiecībā pret euro pārskata perioda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iekļaujama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naudas līdzekļi, prasības vai saistības, kuras izpildot sagaidāma naudas līdzekļu saņemšana vai izdošana, uzskaitītas citā valūtā: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pārrēķinu euro pārskata perioda beigās (izņemot pārrēķinu pārskata gada beigās) veic pēc Eiropas Centrālās bankas publicētā euro atsauces kursa, kurš ir spēkā pārskata perioda pēdējās dienas 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IV ceturkšņa pārskatā pārrēķinu euro veic pēc Eiropas Centrālās bankas publicētā euro atsauces kursa, kurš ir spēkā pārskata perioda pēdējās dienas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tām ārvalstu valūtām, kurām Eiropas Centrālā banka nepublicē euro atsauces kursu, piemēro pasaules finanšu tirgus atzītā finanšu nozares periodiskajā izdevumā vai tā interneta resursā publicēto valūtas tirgus kursu attiecībā pret euro pārskata perioda beigās.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Druvis Pūkainis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Atzinumi_23-TA-211.docx</dc:title>
</cp:coreProperties>
</file>

<file path=docProps/custom.xml><?xml version="1.0" encoding="utf-8"?>
<Properties xmlns="http://schemas.openxmlformats.org/officeDocument/2006/custom-properties" xmlns:vt="http://schemas.openxmlformats.org/officeDocument/2006/docPropsVTypes"/>
</file>