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kopējais attiecināmais finansējums ir 8 700 000 </w:t>
            </w:r>
            <w:r w:rsidR="00000000" w:rsidRPr="00000000" w:rsidDel="00000000">
              <w:rPr>
                <w:i w:val="1"/>
                <w:rtl w:val="0"/>
              </w:rPr>
              <w:t xml:space="preserve">euro </w:t>
            </w:r>
            <w:r w:rsidR="00000000" w:rsidRPr="00000000" w:rsidDel="00000000">
              <w:rPr>
                <w:rtl w:val="0"/>
              </w:rPr>
              <w:t xml:space="preserve">(no tā elastības finansējums – 6 689 525 </w:t>
            </w:r>
            <w:r w:rsidR="00000000" w:rsidRPr="00000000" w:rsidDel="00000000">
              <w:rPr>
                <w:i w:val="1"/>
                <w:rtl w:val="0"/>
              </w:rPr>
              <w:t xml:space="preserve">euro</w:t>
            </w:r>
            <w:r w:rsidR="00000000" w:rsidRPr="00000000" w:rsidDel="00000000">
              <w:rPr>
                <w:rtl w:val="0"/>
              </w:rPr>
              <w:t xml:space="preserve">), tai skaitā Eiropas Reģionālās attīstības fonda finansējums 7 395 000 </w:t>
            </w:r>
            <w:r w:rsidR="00000000" w:rsidRPr="00000000" w:rsidDel="00000000">
              <w:rPr>
                <w:i w:val="1"/>
                <w:rtl w:val="0"/>
              </w:rPr>
              <w:t xml:space="preserve">euro </w:t>
            </w:r>
            <w:r w:rsidR="00000000" w:rsidRPr="00000000" w:rsidDel="00000000">
              <w:rPr>
                <w:rtl w:val="0"/>
              </w:rPr>
              <w:t xml:space="preserve">(no tā elastības finansējums – 5 686 097 </w:t>
            </w:r>
            <w:r w:rsidR="00000000" w:rsidRPr="00000000" w:rsidDel="00000000">
              <w:rPr>
                <w:i w:val="1"/>
                <w:rtl w:val="0"/>
              </w:rPr>
              <w:t xml:space="preserve">euro</w:t>
            </w:r>
            <w:r w:rsidR="00000000" w:rsidRPr="00000000" w:rsidDel="00000000">
              <w:rPr>
                <w:rtl w:val="0"/>
              </w:rPr>
              <w:t xml:space="preserve">) un nacionālais finansējums (pašvaldības līdzfinansējums) – ne mazāk kā 1 305 000 </w:t>
            </w:r>
            <w:r w:rsidR="00000000" w:rsidRPr="00000000" w:rsidDel="00000000">
              <w:rPr>
                <w:i w:val="1"/>
                <w:rtl w:val="0"/>
              </w:rPr>
              <w:t xml:space="preserve">euro </w:t>
            </w:r>
            <w:r w:rsidR="00000000" w:rsidRPr="00000000" w:rsidDel="00000000">
              <w:rPr>
                <w:rtl w:val="0"/>
              </w:rPr>
              <w:t xml:space="preserve">(no tā elastības finansējums – 1 003 428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paredzēto risinājumu elastības finansējuma izmantošanai, neatbalstām noteikumu projekta virzību apstiprināšanai Ministru kabinetā, kamēr nav skaidrs konceptuāls lēmums par ES kohēzijas politikas programmas 2021.–2027.gadam vidusposma procesu un elastības finansējuma novirzīšanu. Uzturam iepriekš izteikto iebildumu, ņemot vērā, ka līdz šim vēl nav panākta vienošanās par elastības finansējuma sadales principiem vai tvērumu ne kopumā, ne attiecībā uz Kultūras ministrijas  pārziņā esošo investīciju elastības finansējumu; vienlaikus informējam, ka jautājumu plānots skatīt Eiropas Savienības fondu tematiskajā komitejā š.g. 10.oktobrī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02.10.2024.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02.10.2024.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Atzinumi_24-TA-816.docx</dc:title>
</cp:coreProperties>
</file>

<file path=docProps/custom.xml><?xml version="1.0" encoding="utf-8"?>
<Properties xmlns="http://schemas.openxmlformats.org/officeDocument/2006/custom-properties" xmlns:vt="http://schemas.openxmlformats.org/officeDocument/2006/docPropsVTypes"/>
</file>