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reģistrā ievada un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3.–8. punktos noteikts reģistrā iekļaujamais un glabājamais informācijas apjoms. Vēršam uzmanību, ka tajos nav paredzēts reģistrā glabāt informāciju par personas dzimšanas vietu, personu apliecinošo dokumentu, valstisko piederību un tās veidu, personas rīcībspējas pazīmēm, kā arī citu 9.1. apakšpunktā minēto informāciju. Tomēr nav apšaubāms, ka CSDD, sniedzot pakalpojumus, var būt nepieciešams pārbaudīt šo informāciju, lai nodrošinātu tiesību aktu prasību izpildi. Ievērojot minēto, lūdzam precizēt 9. punktu, skaidri nosakot, ka minētās ziņas nepieciešamības gadījumā ir pieejamas pārbaudei, bet netiek iekļautas un  glabātas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04.08.2025.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04.08.2025.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