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37. pantu papildināt ar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 horizontālo principu “Energoefektivitāte pirmajā vietā”, “Klimatdrošināšana” un Eiropas Savienības un Latvijas Republikas normatīvo tiesību aktu klimata un vides aizsardzības jomā  ievērošanā,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 datus par ietekmi uz horizontālo principu īstenošanu projekta īstenošanas un pēcuzraudzības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izveidotā infrastruktūra būs  noturīga pret ekstrēmiem klimatiskajiem notikumiem, lai uzlabotu noturības līmeni pret klimata pārmaiņu ietekmi, novēršot infrastruktūras neaizsargātību pret klimatisko apstākļu iespējamo ilgtermiņa ietekmi vai akūtiem notikumiem.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 horizontālo principu “Energoefektivitāte pirmajā vietā”, “Klimatdrošināšana” un Eiropas Savienības un Latvijas Republikas normatīvo tiesību aktu klimata un vides aizsardzības jomā  ievērošanā,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 datus par ietekmi uz horizontālo principu īstenošanu projekta īstenošanas un pēcuzraudzības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izveidotā infrastruktūra būs  noturīga pret ekstrēmiem klimatiskajiem notikumiem, lai uzlabotu noturības līmeni pret klimata pārmaiņu ietekmi, novēršot infrastruktūras neaizsargātību pret klimatisko apstākļu iespējamo ilgtermiņa ietekmi vai akūtiem notikumiem.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08.04.2024. 08.21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08.04.2024. 08.21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