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25-TA-1521: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priekšlikumiem kapitāla tirgus attīstībai un valsts un pašvaldību kapitālsabiedrībām, kas virzāmas sākotnējam publiskam piedāvājumam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arodbiedrība "Enerģija"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11.07.2025.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priekšlikumiem kapitāla tirgus attīstībai un valsts un pašvaldību kapitālsabiedrībām, kas virzāmas sākotnējam publiskam piedāvājumam"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arodbiedrība (turpmāk – LAB) "Enerģija" ir izskatījusi informatīvo ziņojumu “Par priekšlikumiem kapitāla tirgus attīstībai un valsts un pašvaldību kapitālsabiedrībām, kas virzāmas sākotnējam publiskam piedāvājumam” un </w:t>
            </w:r>
            <w:r w:rsidR="00000000" w:rsidRPr="00000000" w:rsidDel="00000000">
              <w:rPr>
                <w:b w:val="1"/>
                <w:rtl w:val="0"/>
              </w:rPr>
              <w:t xml:space="preserve">kategoriski iebilst pret ziņojumā minēto, ka viens no valsts bruto parāda samazināšanas pasākumiem ir valsts kapitālsabiedrību mazākuma daļas, kas ir ne mazāk kā 10%, atsavināšana publiskajā piedāvājumā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Tādas enerģētikas nozares stratēģiskas nozīmes valsts kapitālsabiedrības kā AS "Latvenergo" un AS "Augstsprieguma tīkls" nodrošina kritiskās infrastruktūras sekmīgu darbību un pēc būtības ir valsts aizsardzības sistēmas sastāvdaļa, tās ir pašpietiekamas, strādā efektīvi un ar peļņu, un to darbības nodrošināšanai netiek prasīta nauda no valsts budžeta. Vēršam uzmanību, ka AS "Latvenergo" katru gadu valsts budžetā kopumā iemaksā vairākus simtus miljonu eiro dividendēs un vairākus desmitus miljonu eiro nodokļos. Atsavinot publiskajā piedāvājumā ne mazāk kā 10% kapitālsabiedrību mazākuma daļas ar mērķi samazināt valsts bruto parādu, ilgtermiņā veidosies riski Latvijas valstij stratēģiski svarīgu kapitālsabiedrību pārvaldībā.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energosistēma ir sinhronizēta ar kontinentālo Eiropu, mūsu enerģētiskās sistēmas ir savienotas, drošība Latvijas kritiskās infrastruktūras uzņēmumos ir ļoti būtiska un no tās ir atkarīga visas Eiropas enerģētiskā drošība.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Argumenti par efektivitātes uzlabošanu enerģētikas nozares valsts kapitālsabiedrībās ar privātā investora piesaisti nav pamatoti, jo jau tagad redzams, ka, piemēram, 2024.gadā Latvenergo koncernā bija lielākā EBITDA (ieņēmumi pirms procentu, nodokļu, nolietojuma un amortizācijas atskaitījumiem) un mazākais darbinieku skaits starp Baltijas valstu lielākajiem enerģētikas uzņēmumiem.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 "Enerģija" rosina valsts kapitālsabiedrību akcionāriem rīkoties kā atbildīgiem saimniekiem un vai nu pilnībā ieguldīt peļņu uzņēmumu attīstībā, vai arī dividendēs izmaksājamo peļņas daļu prognozēt un noteikt atbilstoši labas korporatīvās pārvaldības principiem, tādējādi veicinot straujāku valsts kapitālsabiedrību izaugsmi, vispārējo stratēģisko mērķu sasniegšanu un valsts ieguldītā vai kapitālsabiedrības apsaimniekotā valsts kapitāla atbilstošu atdevi, lai vēl vairāk paaugstinātu uzņēmumu konkurētspēju nākotnē.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LAB "Enerģija" kategoriski iebilst pret valsts bruto parāda samazināšanas pasākumiem, atsavinot publiskajā piedāvājumā valsts kapitālsabiedrību mazākuma daļas</w:t>
            </w:r>
            <w:r w:rsidR="00000000" w:rsidRPr="00000000" w:rsidDel="00000000">
              <w:rPr>
                <w:rtl w:val="0"/>
              </w:rPr>
              <w:t xml:space="preserve">, kas ir ne mazāk kā 10%, līdz 2029. gadam, tajā skaitā attiecībā uz tām komerciālajām valsts kapitālsabiedrībām, kurām atbilstoši normatīvajam regulējumam noteikts privatizācijas aizliegums.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Lilita Vagele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13.46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25-TA-1521</w:t>
    </w:r>
    <w:r>
      <w:br/>
    </w:r>
    <w:r w:rsidR="00000000" w:rsidRPr="00000000" w:rsidDel="00000000">
      <w:rPr>
        <w:rtl w:val="0"/>
      </w:rPr>
      <w:t xml:space="preserve">Izdrukāts 11.07.2025. 13.46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Atzinumi_25-TA-1521.docx</dc:title>
</cp:coreProperties>
</file>

<file path=docProps/custom.xml><?xml version="1.0" encoding="utf-8"?>
<Properties xmlns="http://schemas.openxmlformats.org/officeDocument/2006/custom-properties" xmlns:vt="http://schemas.openxmlformats.org/officeDocument/2006/docPropsVTypes"/>
</file>