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ainavas” iebilst Zemkopības ministrijas (ZM) sagatavotajiem Meža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Ciršanai paredzēto koku ciršana ir pretrunā ar Satversmes tiesas spriedumu (Lieta: 2023-01-03), kas paredz pirms būtiskas ietekmes uz vidi veikt stratēģisko novērtējumu. Turklāt piecu gadu laikā vēl arvien nav izstrādāti arī jaunie meža politikas pamatvirzieni, uz ko ir norādījusi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36. panta 2. daļa - atzīt jebkuru darbību, kas veikta saskaņā ar Meža likumu, par atbilstošu normatīvo aktu prasībām sugu un biotopu aizsardzībā, ir pretrunā ar Eiropas dabas aizsardzības tiesību aktiem  (1979. gada 2. aprīļa Padomes Direktīvu 79/409/EEK par savvaļas putnu aizsardzību (Putnu direktīva) un 1992. gada 21. maija Padomes Direktīvu 92/43/EEK par dabisko dzīvotņu, savvaļas faunas un flora (Biotopu direktīva). Norma neatbilst Eiropas Savienības Tiesas judikatūrai.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