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Bīstamo kravu autopārvadājumu noteikumu prasību ievērošanas kontroli veic atbilstoši normatīvajos aktos par bīstamo kravu aprites kontroles kārtību noteiktajām prasībām, izmantojot arī tajos noteikto bīstamo kravu autopārvadājumu kontroles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noteikumos nav iekļaujamas informatīva rakstura norādes.</w:t>
            </w:r>
            <w:r w:rsidR="00000000" w:rsidRPr="00000000" w:rsidDel="00000000">
              <w:rPr>
                <w:rtl w:val="0"/>
              </w:rPr>
              <w:t xml:space="preserve"> Tas, ka bīstamo kravu pārvadājumu noteikumu ievērošanu kontrolē atbilstoši normatīvajos aktos par bīstamo kravu aprites kontroles kārtību noteiktajām prasībām un izmanto tajos noteiktos dokumentus, izriet jau no Bīstamo kravu aprites likuma un tā mijiedarbības ar Autopārvadājumu likumu. Apšaubāms, ka bīstamo kravu pārvadātājiem vai kontrolējošo iestāžu amatpersonām (kas šajā gadījumā šķiet tiešie regulējuma adresāti) nebūtu zināma šādas normatīvo aktu sistēmas 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informāciju par bīstamo kravu aprites kontroli var iekļaut projekta anotācijā. Savukārt grozāmo noteikumu 10. punktā esošais regulējums šajos noteikumos vairs nav nepieciešams (nav atbilstošs to regulēšanas priekšmetam), un šo normu var svītrot. Ministru kabineta noteikumos iekļaujamas tiesību normas, nevis informatīvi skaidrojumi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grozāmo noteikumu 3.3.2.4. apakšpunktu. Arī šajā normā ir iekļauts noteikumu regulēšanas priekšmetam neatbilstošs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11.06.2026.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11.06.2026.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Atzinumi_23-TA-288.docx</dc:title>
</cp:coreProperties>
</file>

<file path=docProps/custom.xml><?xml version="1.0" encoding="utf-8"?>
<Properties xmlns="http://schemas.openxmlformats.org/officeDocument/2006/custom-properties" xmlns:vt="http://schemas.openxmlformats.org/officeDocument/2006/docPropsVTypes"/>
</file>