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25-TA-247: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ziņojums"Digitālās transformācijas pamatnostādņu 2021. - 2027.gadam starpposma izvērtējums"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(Digitālās transformācijas pamatnostādņu 2021.–2027. gadam ieviešanas plāns 2023.–2027. gadam_07042025)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 punktā   lūgums precizēt rindkopu "Būtiska loma ir ANM plānā paredzētajām investīcijām, lai atbalstītu vismaz pamata digitālo prasmju apgūšanu iedzīvotājiem vecumā no 16 līdz 74 gadiem, piemēram, izmēģinājuma projektam par individuālajiem mācību kontiem  un iniciatīvai digitālo pamatprasmju nodrošināšanai vismaz 50 tūkst. cilvēku. Paredzams, ka šīs investīcijas palīdzēs sasniegt šajā attīstības jomā izvirzītos rezultatīvos rādītājus."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Individuālo mācību konta projekts paredz vienotas pašapkalpošanās platformas izstrādi un digitālo prasmju apguvi 3500 personām (DigComp 4 -8. līmenis) līdz ar to pats par sevi  individuālie mācību konti neveicina pamata digitālo prasmju apguvi.  Lūgums precizēt norādot, ka VARAM nodrošina mācības izmantojot individuālo mācību kontu, tādējādi nodrošinot vienotu digitālu platformu izmantošanu un  "iesniedz vienreiz" principu, tādējādi arī veicinot iedzīvotāju e-pakalpojumu izmantošanu un pamatdigitālo prasmju apguvi, kā arī nodrošinot atbalstu un mācības pašvaldībās pašapkalpošanas portāla izmantošanai iedzīvotājiem.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lpp  "Pilnveidojot personalizētus izglītības kursus ..." , bet gan veidojot vienotu piekļuvi  un informāciju pieaugušajiem par izglītības iespējām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4.5.4. Ieteikumi  papildus norādot - Ņemot vērā augsti kvalificētu speciālistu aizplūšanu uz ārvalstīm un cilvēkkapitāla ierobežoto pieejamību, ir būtiski turpināt un pastiprināt pasākumus talantu piesaistes un cilvēkkapitāla attīstības jomā, lai nodrošinātu pētniecības projektu ilgtspēju un veicinātu vietējo ekspertu noturēšanu.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Signe Briķe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peilikumā "Digitālās_transformācijas_pamatnostādņu_2021.2027.gadam_ieviešanas_plāns_2023._2027.gadam" pie Plāna mērķa 1.3.-1.1. Pie rezultatīvā rādītāja labot uz "2080", komentārā par neizpildi EM tekstu aizstāt ar "Rezultatīvais rādītājs jāsasniedz līdz 2026. gada 30.jūnijam, līdz ar to šobrīd neizpilde nav konstatēta, rādītājs uz 2024.gada vidu, pēc finansējuma saņēmēju sniegtajiem datiem, ir sasniegts. Ņemot vērā, ka MKN 529 grozījumi ir apstiprināti 2025. gada martā, ir lūgts CFLA pārskatīt apstiprinātos rādītājus un, ja nepeiciešams, precizēt tos, balstoties uz to, ka vienu uzņēmumu rādītājā var uzskaitīt vairākas reizes, ja tas savus darbiniekus apmācījis dažādās mācību jomās. Šobrīd investīcijā pāri palikušais finansējums, par ko netika noslēgti līgumi, ir pārdalīts uz investīciju 2.2.1.4.i., līdz ar to kopējais 2.3.1.2.i. investīcijā plānotais finansējums tiks apgūts, jo ir noslēgti līgumi ar finansējuma saņēmējiem visu pieejamo finansējuma summu,"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Anspoka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"Papildu dokumenti (Digitālās transformācijas pamatnostādņu 2021.–2027. gadam ieviešanas plāns 2023.–2027. gadam)" 4.11. - 1.3. uzdevumu, pie </w:t>
            </w:r>
            <w:r w:rsidR="00000000" w:rsidRPr="00000000" w:rsidDel="00000000">
              <w:rPr>
                <w:i w:val="1"/>
                <w:rtl w:val="0"/>
              </w:rPr>
              <w:t xml:space="preserve">"komentārs pa neizpildi"</w:t>
            </w:r>
            <w:r w:rsidR="00000000" w:rsidRPr="00000000" w:rsidDel="00000000">
              <w:rPr>
                <w:rtl w:val="0"/>
              </w:rPr>
              <w:t xml:space="preserve"> atstāt tikai tekstu "</w:t>
            </w:r>
            <w:r w:rsidR="00000000" w:rsidRPr="00000000" w:rsidDel="00000000">
              <w:rPr>
                <w:i w:val="1"/>
                <w:rtl w:val="0"/>
              </w:rPr>
              <w:t xml:space="preserve">EM - Pasākuma ietvaro ir apstiprināti MK 2024.gada 9.janvāra noteikumi Nr. 34 "Latvijas Atveseļošanas un noturības mehānisma plāna 2.2. reformu un investīciju virziena "Uzņēmumu digitālā transformācija un inovācijas" 2.2.1.3.i. investīcijas "Atbalsts jaunu produktu un pakalpojumu ieviešanai uzņēmējdarbībā" īstenošanas noteikumi". Atbilstoši CFLA sniegtajai informācijai, līdz 2025. gada 21. februārim ir apstiprināti 43 pētniecības projekti par kopējo ANM finansējumu 14,52 milj. euro."</w:t>
            </w:r>
            <w:r w:rsidR="00000000" w:rsidRPr="00000000" w:rsidDel="00000000">
              <w:rPr>
                <w:rtl w:val="0"/>
              </w:rPr>
              <w:t xml:space="preserve">, pārējo tekstu dzēšot.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Zimele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izklājlapā "Digitālās transformācijas pamatnostādņu 2021.–2027. gadam ieviešanas plāns 2023.–2027. gadam" attiecībā uz 2. attīstības jomas “Digitālā drošība un uzticamība” 2.3. rīcības virzienu “Patērētāju tiesību aizsardzība digitālajā vidē” nomainīt izpildes statusu no "Procesā" uz "Izpildīts" (aile I119) un papildināt 2.3. - 1.1. uzdevuma izpildes aprakstu piedāvātajā redakcijā (ailes J119 un J120). Atbilstoši lūdzam precizēt informatīvā ziņojuma 1. attēlu "Pamatnostādņu uzdevumu izpildes kopējā statistika".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PTAC nodrošina regulāru darbinieku kvalifikācijas celšanu. Apmācībās tiek izmantoti Eiropas Savienības "E-Enforcement Academy" materiāli. Šī kvalifikācijas celšana nodrošina augsta līmeņa apmācību par jaunākajām tendencēm un labākajām praksēm e-komercijas uzraudzībā, kā arī zināšanu apmaiņu ar ES līmeņa ekspertiem. Apmācību materiāli ir pieejami tiešsaistē, un tiem var piekļūt arī jaunie PTAC darbinieki.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nodrošinot efektīvu e-komercijas vides uzraudzību, PTAC ir ieviesis Eiropas Komisijas e-laboratorijas piedāvātos programmatūras un izmeklēšanas rīkus. Ir izveidota virtuālā darba vieta, kurā ir pieejamas dažādas izmeklēšanai nepieciešamās programmas, piemēram, Maltego (palīdz izmeklēt un vizualizēt datus), BlueStucks (palīdz pārbaudīt mobilo aplikāciju darbību), KNIME Analytics (paredzēta mikroprocesu plūsmu izveidei un vadībai), ShareX (palīdz saglabāt ekrānuzņēmumus un video pierādījumu fiksēšanai izmeklēšanas laikā). Savukārt ārpus virtuālās vides PTAC izmanto tādus EK e-laboratorijas piedāvātos rīkus kā DomainTools (datubāze, kas ļauj pēc domēnu vārdu tehniskajiem ierakstiem meklēt saiknes starp dažādiem domēnu vārdiem), Price Reduction (rīks cenu atlaižu monitorēšanai), F.R.E.D (rīks viltus atsauksmju atpazīšanai) un Whippet (rīks kontaktinformācijas meklēšanai interneta vietnēs).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Lita Stauvere (PTAC)</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25-TA-247</w:t>
    </w:r>
    <w:r>
      <w:br/>
    </w:r>
    <w:r w:rsidR="00000000" w:rsidRPr="00000000" w:rsidDel="00000000">
      <w:rPr>
        <w:rtl w:val="0"/>
      </w:rPr>
      <w:t xml:space="preserve">Izdrukāts 15.04.2025. 11.31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25-TA-247</w:t>
    </w:r>
    <w:r>
      <w:br/>
    </w:r>
    <w:r w:rsidR="00000000" w:rsidRPr="00000000" w:rsidDel="00000000">
      <w:rPr>
        <w:rtl w:val="0"/>
      </w:rPr>
      <w:t xml:space="preserve">Izdrukāts 15.04.2025. 11.31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Atzinumi_25-TA-247.docx</dc:title>
</cp:coreProperties>
</file>

<file path=docProps/custom.xml><?xml version="1.0" encoding="utf-8"?>
<Properties xmlns="http://schemas.openxmlformats.org/officeDocument/2006/custom-properties" xmlns:vt="http://schemas.openxmlformats.org/officeDocument/2006/docPropsVTypes"/>
</file>