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tiek norādīts: “Pētījumu veikšanā būtiska informācija ir par recidīvu. Informācija par personu izdarītajiem noziedzīgajiem nodarījumiem ir </w:t>
            </w:r>
            <w:r w:rsidR="00000000" w:rsidRPr="00000000" w:rsidDel="00000000">
              <w:rPr>
                <w:u w:val="single"/>
                <w:rtl w:val="0"/>
              </w:rPr>
              <w:t xml:space="preserve">Iekšlietu ministrijas Informācijas centra pārziņā esošajās informācijas sistēmās</w:t>
            </w:r>
            <w:r w:rsidR="00000000" w:rsidRPr="00000000" w:rsidDel="00000000">
              <w:rPr>
                <w:rtl w:val="0"/>
              </w:rPr>
              <w:t xml:space="preserve">. Līdz ar to Ministru kabineta noteikumu projekts noteic IeVP tiesības pieprasīt informāciju par recidīvu personu izdarītajiem noziedzīgajiem nodarījumiem, ierosinātajiem kriminālprocesiem un sodiem   Iekšlietu ministrijas Informācijas centram. Attiecībā uz personas datu iegūšanu no Sodu reģistra, informējam, ka nolūks personas datu apstrādei ir veikt recidīva pētījumus. Pārvalde kvalitatīvu informāciju par personas sodāmībām var iegūt tikai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projekta anotācijas viennozīmīgi nav skaidrs, vai informācija tiks iegūta tikai no Sodu reģistra (un tikai par Krimināllikuma pantu, daļu un punktu, uz kura pamata persona notiesāta, kā arī piemēroto sodu un papildosodu) vai arī citām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anotāciju. Gadījumā, ja informācija tiks iegūta arī no citām Iekšlietu ministrijas Informācijas centra pārziņā esošajās informācijas sistēmām, lūdzu norādīt konkrētas informācijas sistēmas un datu apjomu, ko paredzēts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23.08.2023.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23.08.2023.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