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Patvertņu būvnormatīvs LBN 210-25 nosaka vispārīgās prasības patvertnēm, prasības patvertnēm aizsardzībai no sprādziena triecienviļņa, šķembām, jonizējošā starojuma, ķīmiskajām kaujas vielām un radioaktīvajiem putekļiem.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ugunsdzēsības un glābšanas dienestam (VUGD) būs atkārtoti jāizvērtē atzītie patvertņu objekti. Pēc būvnormatīvā iekļautajām prasībām neviena no VAS "Valsts nekustamie īpašumi" pārvaldīšanā esošajām VUGD jau atzītajām patvertnēm neatbildīs šī būvnormatīva prasībām. Līdz ar to būs nepieciešami lieli ieguldījumi patvertņu pielāgošanai, kā arī daļu no ēkām vispār nebūs iespējams pielāgot, piemēram, vēsturiskās ēkas.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skaitli "29.1." aizstājot ar skaitli "28.1.".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17.04.2025.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17.04.2025.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